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39" w:rsidRPr="00AF0C16" w:rsidRDefault="00114639" w:rsidP="00114639">
      <w:pPr>
        <w:contextualSpacing/>
        <w:jc w:val="center"/>
        <w:rPr>
          <w:b/>
          <w:sz w:val="32"/>
          <w:szCs w:val="32"/>
        </w:rPr>
      </w:pPr>
      <w:r w:rsidRPr="00AF0C16">
        <w:rPr>
          <w:b/>
          <w:sz w:val="32"/>
          <w:szCs w:val="32"/>
        </w:rPr>
        <w:t>ИТОГОВЫЙ ОТЧЕТ</w:t>
      </w:r>
    </w:p>
    <w:p w:rsidR="00114639" w:rsidRPr="00AF0C16" w:rsidRDefault="00114639" w:rsidP="00114639">
      <w:pPr>
        <w:ind w:left="2124" w:firstLine="708"/>
        <w:contextualSpacing/>
        <w:jc w:val="center"/>
        <w:rPr>
          <w:b/>
          <w:sz w:val="32"/>
          <w:szCs w:val="32"/>
        </w:rPr>
      </w:pPr>
    </w:p>
    <w:p w:rsidR="00114639" w:rsidRPr="00AF0C16" w:rsidRDefault="00114639" w:rsidP="00114639">
      <w:pPr>
        <w:ind w:left="-142"/>
        <w:contextualSpacing/>
        <w:jc w:val="center"/>
        <w:rPr>
          <w:b/>
          <w:sz w:val="32"/>
          <w:szCs w:val="32"/>
        </w:rPr>
      </w:pPr>
      <w:r w:rsidRPr="00AF0C16">
        <w:rPr>
          <w:b/>
          <w:sz w:val="32"/>
          <w:szCs w:val="32"/>
        </w:rPr>
        <w:t>Комитета по местному самоуправлению, межнациональным и межконфессиональным отношениям Ленинградской области о выявлении и оценке рисков нарушения антимонопольного законодательства за 202</w:t>
      </w:r>
      <w:r w:rsidR="0067740F" w:rsidRPr="00AF0C16">
        <w:rPr>
          <w:b/>
          <w:sz w:val="32"/>
          <w:szCs w:val="32"/>
        </w:rPr>
        <w:t>5</w:t>
      </w:r>
      <w:r w:rsidRPr="00AF0C16">
        <w:rPr>
          <w:b/>
          <w:sz w:val="32"/>
          <w:szCs w:val="32"/>
        </w:rPr>
        <w:t xml:space="preserve"> год</w:t>
      </w:r>
    </w:p>
    <w:p w:rsidR="00114639" w:rsidRPr="00AF0C16" w:rsidRDefault="00114639" w:rsidP="00114639">
      <w:pPr>
        <w:ind w:left="-142"/>
        <w:contextualSpacing/>
        <w:jc w:val="center"/>
        <w:rPr>
          <w:b/>
          <w:sz w:val="32"/>
          <w:szCs w:val="32"/>
        </w:rPr>
      </w:pPr>
    </w:p>
    <w:p w:rsidR="00C4346F" w:rsidRPr="00AF0C16" w:rsidRDefault="00C4346F" w:rsidP="00C4346F">
      <w:pPr>
        <w:ind w:firstLine="720"/>
        <w:contextualSpacing/>
        <w:rPr>
          <w:rFonts w:eastAsia="Calibri" w:cs="Times New Roman"/>
          <w:szCs w:val="28"/>
        </w:rPr>
      </w:pPr>
      <w:r w:rsidRPr="00AF0C16">
        <w:rPr>
          <w:rFonts w:cs="Times New Roman"/>
          <w:szCs w:val="28"/>
        </w:rPr>
        <w:t xml:space="preserve">В целях выявления и оценки рисков нарушения антимонопольного законодательства, </w:t>
      </w:r>
      <w:r w:rsidRPr="00AF0C16">
        <w:rPr>
          <w:rFonts w:eastAsia="Calibri" w:cs="Times New Roman"/>
          <w:szCs w:val="28"/>
        </w:rPr>
        <w:t xml:space="preserve">в соответствии с распоряжением Комитета экономического развития и инвестиционной деятельности </w:t>
      </w:r>
      <w:r w:rsidR="00E87D63" w:rsidRPr="00AF0C16">
        <w:rPr>
          <w:rFonts w:eastAsia="Calibri" w:cs="Times New Roman"/>
          <w:szCs w:val="28"/>
        </w:rPr>
        <w:t xml:space="preserve">Ленинградской области </w:t>
      </w:r>
      <w:r w:rsidR="002E1039" w:rsidRPr="00AF0C16">
        <w:rPr>
          <w:rFonts w:eastAsia="Calibri" w:cs="Times New Roman"/>
          <w:szCs w:val="28"/>
        </w:rPr>
        <w:t>от 23</w:t>
      </w:r>
      <w:r w:rsidR="004070AA" w:rsidRPr="00AF0C16">
        <w:rPr>
          <w:rFonts w:eastAsia="Calibri" w:cs="Times New Roman"/>
          <w:szCs w:val="28"/>
        </w:rPr>
        <w:t>.12.</w:t>
      </w:r>
      <w:r w:rsidR="002E1039" w:rsidRPr="00AF0C16">
        <w:rPr>
          <w:rFonts w:eastAsia="Calibri" w:cs="Times New Roman"/>
          <w:szCs w:val="28"/>
        </w:rPr>
        <w:t>2024 №</w:t>
      </w:r>
      <w:r w:rsidR="00BC3418" w:rsidRPr="00AF0C16">
        <w:rPr>
          <w:rFonts w:eastAsia="Calibri" w:cs="Times New Roman"/>
          <w:szCs w:val="28"/>
        </w:rPr>
        <w:t> </w:t>
      </w:r>
      <w:r w:rsidR="002E1039" w:rsidRPr="00AF0C16">
        <w:rPr>
          <w:rFonts w:eastAsia="Calibri" w:cs="Times New Roman"/>
          <w:szCs w:val="28"/>
        </w:rPr>
        <w:t>216</w:t>
      </w:r>
      <w:r w:rsidRPr="00AF0C16">
        <w:rPr>
          <w:rFonts w:eastAsia="Calibri" w:cs="Times New Roman"/>
          <w:szCs w:val="28"/>
        </w:rPr>
        <w:t xml:space="preserve"> «Об утверждении карты </w:t>
      </w:r>
      <w:proofErr w:type="spellStart"/>
      <w:r w:rsidRPr="00AF0C16">
        <w:rPr>
          <w:rFonts w:eastAsia="Calibri" w:cs="Times New Roman"/>
          <w:szCs w:val="28"/>
        </w:rPr>
        <w:t>комплаенс</w:t>
      </w:r>
      <w:proofErr w:type="spellEnd"/>
      <w:r w:rsidRPr="00AF0C16">
        <w:rPr>
          <w:rFonts w:eastAsia="Calibri" w:cs="Times New Roman"/>
          <w:szCs w:val="28"/>
        </w:rPr>
        <w:t xml:space="preserve">-рисков Ленинградской области» </w:t>
      </w:r>
      <w:r w:rsidRPr="00AF0C16">
        <w:rPr>
          <w:rFonts w:cs="Times New Roman"/>
          <w:szCs w:val="28"/>
        </w:rPr>
        <w:t>при</w:t>
      </w:r>
      <w:r w:rsidR="00BC3418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 xml:space="preserve">осуществлении </w:t>
      </w:r>
      <w:r w:rsidR="00BC3418" w:rsidRPr="00AF0C16">
        <w:rPr>
          <w:rFonts w:cs="Times New Roman"/>
          <w:szCs w:val="28"/>
        </w:rPr>
        <w:t xml:space="preserve">Комитетом </w:t>
      </w:r>
      <w:r w:rsidR="0019378F" w:rsidRPr="00AF0C16">
        <w:rPr>
          <w:rFonts w:cs="Times New Roman"/>
          <w:szCs w:val="28"/>
        </w:rPr>
        <w:t xml:space="preserve">своей деятельности </w:t>
      </w:r>
      <w:r w:rsidR="0067740F" w:rsidRPr="00AF0C16">
        <w:rPr>
          <w:rFonts w:cs="Times New Roman"/>
          <w:szCs w:val="28"/>
        </w:rPr>
        <w:t>в течение 2025</w:t>
      </w:r>
      <w:r w:rsidR="0019378F" w:rsidRPr="00AF0C16">
        <w:rPr>
          <w:rFonts w:cs="Times New Roman"/>
          <w:szCs w:val="28"/>
        </w:rPr>
        <w:t xml:space="preserve"> года были проведены</w:t>
      </w:r>
      <w:r w:rsidR="00BC3418" w:rsidRPr="00AF0C16">
        <w:rPr>
          <w:rFonts w:cs="Times New Roman"/>
          <w:szCs w:val="28"/>
        </w:rPr>
        <w:t xml:space="preserve"> следующие мероприятия</w:t>
      </w:r>
      <w:r w:rsidRPr="00AF0C16">
        <w:rPr>
          <w:rFonts w:cs="Times New Roman"/>
          <w:szCs w:val="28"/>
        </w:rPr>
        <w:t>:</w:t>
      </w:r>
    </w:p>
    <w:p w:rsidR="00C4346F" w:rsidRPr="00AF0C16" w:rsidRDefault="00016B17" w:rsidP="00BC3418">
      <w:pPr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bookmarkStart w:id="0" w:name="_GoBack"/>
      <w:bookmarkEnd w:id="0"/>
      <w:r w:rsidR="00C4346F" w:rsidRPr="00AF0C16">
        <w:rPr>
          <w:rFonts w:cs="Times New Roman"/>
          <w:szCs w:val="28"/>
        </w:rPr>
        <w:t>анализ выявленных нарушений антимонопольного законодательства в</w:t>
      </w:r>
      <w:r w:rsidR="00BC3418" w:rsidRPr="00AF0C16">
        <w:rPr>
          <w:rFonts w:cs="Times New Roman"/>
          <w:szCs w:val="28"/>
        </w:rPr>
        <w:t> </w:t>
      </w:r>
      <w:r w:rsidR="00C4346F" w:rsidRPr="00AF0C16">
        <w:rPr>
          <w:rFonts w:cs="Times New Roman"/>
          <w:szCs w:val="28"/>
        </w:rPr>
        <w:t>деятельности Комитета;</w:t>
      </w:r>
    </w:p>
    <w:p w:rsidR="00C4346F" w:rsidRPr="00AF0C16" w:rsidRDefault="00C4346F" w:rsidP="00BC341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анализ нормативных правовых актов Комитета;</w:t>
      </w:r>
    </w:p>
    <w:p w:rsidR="00C4346F" w:rsidRPr="00AF0C16" w:rsidRDefault="00C4346F" w:rsidP="00BC341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анализ проектов нормативных правовых актов, разрабатываемых Комитетом;</w:t>
      </w:r>
    </w:p>
    <w:p w:rsidR="00C4346F" w:rsidRPr="00AF0C16" w:rsidRDefault="00C4346F" w:rsidP="00BC3418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мониторинг и анализ практики применения Комитетом ан</w:t>
      </w:r>
      <w:r w:rsidR="00BC3418" w:rsidRPr="00AF0C16">
        <w:rPr>
          <w:rFonts w:cs="Times New Roman"/>
          <w:szCs w:val="28"/>
        </w:rPr>
        <w:t>тимонопольного законодательства;</w:t>
      </w:r>
    </w:p>
    <w:p w:rsidR="00C4346F" w:rsidRPr="00AF0C16" w:rsidRDefault="00C4346F" w:rsidP="00BC3418">
      <w:pPr>
        <w:ind w:firstLine="709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E87D63" w:rsidRPr="00AF0C16">
        <w:rPr>
          <w:rFonts w:cs="Times New Roman"/>
          <w:szCs w:val="28"/>
        </w:rPr>
        <w:t>исполнение Плана</w:t>
      </w:r>
      <w:r w:rsidRPr="00AF0C16">
        <w:rPr>
          <w:rFonts w:cs="Times New Roman"/>
          <w:szCs w:val="28"/>
        </w:rPr>
        <w:t xml:space="preserve"> мероприяти</w:t>
      </w:r>
      <w:r w:rsidR="00E87D63" w:rsidRPr="00AF0C16">
        <w:rPr>
          <w:rFonts w:cs="Times New Roman"/>
          <w:szCs w:val="28"/>
        </w:rPr>
        <w:t>й</w:t>
      </w:r>
      <w:r w:rsidR="005B61E1" w:rsidRPr="00AF0C16">
        <w:rPr>
          <w:rFonts w:cs="Times New Roman"/>
          <w:szCs w:val="28"/>
        </w:rPr>
        <w:t xml:space="preserve"> (</w:t>
      </w:r>
      <w:proofErr w:type="gramStart"/>
      <w:r w:rsidR="005B61E1" w:rsidRPr="00AF0C16">
        <w:rPr>
          <w:rFonts w:cs="Times New Roman"/>
          <w:szCs w:val="28"/>
        </w:rPr>
        <w:t>дорожной-карты</w:t>
      </w:r>
      <w:proofErr w:type="gramEnd"/>
      <w:r w:rsidR="00D85353" w:rsidRPr="00AF0C16">
        <w:rPr>
          <w:rFonts w:cs="Times New Roman"/>
          <w:szCs w:val="28"/>
        </w:rPr>
        <w:t>)</w:t>
      </w:r>
      <w:r w:rsidRPr="00AF0C16">
        <w:rPr>
          <w:rFonts w:cs="Times New Roman"/>
          <w:szCs w:val="28"/>
        </w:rPr>
        <w:t xml:space="preserve"> по снижению </w:t>
      </w:r>
      <w:proofErr w:type="spellStart"/>
      <w:r w:rsidRPr="00AF0C16">
        <w:rPr>
          <w:rFonts w:cs="Times New Roman"/>
          <w:szCs w:val="28"/>
        </w:rPr>
        <w:t>комплаенс</w:t>
      </w:r>
      <w:proofErr w:type="spellEnd"/>
      <w:r w:rsidR="008779E3" w:rsidRPr="00AF0C16">
        <w:rPr>
          <w:rFonts w:cs="Times New Roman"/>
          <w:szCs w:val="28"/>
        </w:rPr>
        <w:t>-</w:t>
      </w:r>
      <w:r w:rsidRPr="00AF0C16">
        <w:rPr>
          <w:rFonts w:cs="Times New Roman"/>
          <w:szCs w:val="28"/>
        </w:rPr>
        <w:t>рисков</w:t>
      </w:r>
      <w:r w:rsidR="00D85353" w:rsidRPr="00AF0C16">
        <w:rPr>
          <w:rFonts w:cs="Times New Roman"/>
          <w:szCs w:val="28"/>
        </w:rPr>
        <w:t xml:space="preserve"> </w:t>
      </w:r>
      <w:r w:rsidR="00E87D63" w:rsidRPr="00AF0C16">
        <w:rPr>
          <w:rFonts w:cs="Times New Roman"/>
          <w:szCs w:val="28"/>
        </w:rPr>
        <w:t>органов исполнительной власти Ленинградской области</w:t>
      </w:r>
      <w:r w:rsidR="00B7627E" w:rsidRPr="00AF0C16">
        <w:rPr>
          <w:rFonts w:cs="Times New Roman"/>
          <w:szCs w:val="28"/>
        </w:rPr>
        <w:t>, утвержденн</w:t>
      </w:r>
      <w:r w:rsidR="00E87D63" w:rsidRPr="00AF0C16">
        <w:rPr>
          <w:rFonts w:cs="Times New Roman"/>
          <w:szCs w:val="28"/>
        </w:rPr>
        <w:t xml:space="preserve">ого </w:t>
      </w:r>
      <w:r w:rsidR="00B7627E" w:rsidRPr="00AF0C16">
        <w:rPr>
          <w:rFonts w:cs="Times New Roman"/>
          <w:szCs w:val="28"/>
        </w:rPr>
        <w:t>распоряжением Губернатора Лен</w:t>
      </w:r>
      <w:r w:rsidR="002E1039" w:rsidRPr="00AF0C16">
        <w:rPr>
          <w:rFonts w:cs="Times New Roman"/>
          <w:szCs w:val="28"/>
        </w:rPr>
        <w:t>ингр</w:t>
      </w:r>
      <w:r w:rsidR="0067740F" w:rsidRPr="00AF0C16">
        <w:rPr>
          <w:rFonts w:cs="Times New Roman"/>
          <w:szCs w:val="28"/>
        </w:rPr>
        <w:t>адской области от 21.01.2025 № 2</w:t>
      </w:r>
      <w:r w:rsidR="002E1039" w:rsidRPr="00AF0C16">
        <w:rPr>
          <w:rFonts w:cs="Times New Roman"/>
          <w:szCs w:val="28"/>
        </w:rPr>
        <w:t>8</w:t>
      </w:r>
      <w:r w:rsidR="00B7627E" w:rsidRPr="00AF0C16">
        <w:rPr>
          <w:rFonts w:cs="Times New Roman"/>
          <w:szCs w:val="28"/>
        </w:rPr>
        <w:t>-рг</w:t>
      </w:r>
      <w:r w:rsidR="00BC3418" w:rsidRPr="00AF0C16">
        <w:rPr>
          <w:rFonts w:cs="Times New Roman"/>
          <w:szCs w:val="28"/>
        </w:rPr>
        <w:t xml:space="preserve"> (далее – дорожная карта)</w:t>
      </w:r>
      <w:r w:rsidR="00E87D63" w:rsidRPr="00AF0C16">
        <w:rPr>
          <w:rFonts w:cs="Times New Roman"/>
          <w:szCs w:val="28"/>
        </w:rPr>
        <w:t>.</w:t>
      </w:r>
    </w:p>
    <w:p w:rsidR="002676AB" w:rsidRPr="00AF0C16" w:rsidRDefault="002676AB" w:rsidP="00C4346F">
      <w:pPr>
        <w:contextualSpacing/>
        <w:rPr>
          <w:rFonts w:cs="Times New Roman"/>
          <w:szCs w:val="28"/>
        </w:rPr>
      </w:pPr>
    </w:p>
    <w:p w:rsidR="00E87D63" w:rsidRPr="00AF0C16" w:rsidRDefault="00C4346F" w:rsidP="00C4346F">
      <w:pPr>
        <w:ind w:firstLine="708"/>
        <w:contextualSpacing/>
        <w:rPr>
          <w:rFonts w:cs="Times New Roman"/>
          <w:szCs w:val="28"/>
          <w:u w:val="single"/>
        </w:rPr>
      </w:pPr>
      <w:r w:rsidRPr="00AF0C16">
        <w:rPr>
          <w:rFonts w:cs="Times New Roman"/>
          <w:szCs w:val="28"/>
          <w:u w:val="single"/>
        </w:rPr>
        <w:t xml:space="preserve">По пункту 1 дорожной карты. 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В отчетном периоде не установлены нарушения при осуществлении </w:t>
      </w:r>
      <w:r w:rsidR="00E87D63" w:rsidRPr="00AF0C16">
        <w:rPr>
          <w:rFonts w:cs="Times New Roman"/>
          <w:szCs w:val="28"/>
        </w:rPr>
        <w:t xml:space="preserve">Комитетом </w:t>
      </w:r>
      <w:r w:rsidRPr="00AF0C16">
        <w:rPr>
          <w:rFonts w:cs="Times New Roman"/>
          <w:szCs w:val="28"/>
        </w:rPr>
        <w:t xml:space="preserve">закупок товаров, работ, услуг для обеспечения государственных нужд. </w:t>
      </w:r>
      <w:r w:rsidR="00AD4215" w:rsidRPr="00AF0C16">
        <w:rPr>
          <w:rFonts w:cs="Times New Roman"/>
          <w:szCs w:val="28"/>
        </w:rPr>
        <w:t>О</w:t>
      </w:r>
      <w:r w:rsidRPr="00AF0C16">
        <w:rPr>
          <w:rFonts w:cs="Times New Roman"/>
          <w:szCs w:val="28"/>
        </w:rPr>
        <w:t xml:space="preserve">существлены следующие действия, направленные на минимизацию и устранение </w:t>
      </w:r>
      <w:proofErr w:type="spellStart"/>
      <w:r w:rsidRPr="00AF0C16">
        <w:rPr>
          <w:rFonts w:cs="Times New Roman"/>
          <w:szCs w:val="28"/>
        </w:rPr>
        <w:t>комлаенс</w:t>
      </w:r>
      <w:proofErr w:type="spellEnd"/>
      <w:r w:rsidRPr="00AF0C16">
        <w:rPr>
          <w:rFonts w:cs="Times New Roman"/>
          <w:szCs w:val="28"/>
        </w:rPr>
        <w:t xml:space="preserve">-рисков: 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участие в семинарах, организованных Комитетом государственного заказа</w:t>
      </w:r>
      <w:r w:rsidR="00E87D63" w:rsidRPr="00AF0C16">
        <w:rPr>
          <w:rFonts w:cs="Times New Roman"/>
          <w:szCs w:val="28"/>
        </w:rPr>
        <w:t xml:space="preserve"> Ленинградской области</w:t>
      </w:r>
      <w:r w:rsidR="0097096A" w:rsidRPr="00AF0C16">
        <w:rPr>
          <w:rFonts w:cs="Times New Roman"/>
          <w:szCs w:val="28"/>
        </w:rPr>
        <w:t xml:space="preserve">, обучение </w:t>
      </w:r>
      <w:r w:rsidR="00E87D63" w:rsidRPr="00AF0C16">
        <w:rPr>
          <w:rFonts w:cs="Times New Roman"/>
          <w:szCs w:val="28"/>
        </w:rPr>
        <w:t xml:space="preserve">государственных гражданских служащих Комитета </w:t>
      </w:r>
      <w:r w:rsidR="0097096A" w:rsidRPr="00AF0C16">
        <w:rPr>
          <w:rFonts w:cs="Times New Roman"/>
          <w:szCs w:val="28"/>
        </w:rPr>
        <w:t>по программе повышения квалификации в сфере управления государственными и муниципальными закупкам</w:t>
      </w:r>
      <w:r w:rsidR="00CA0EE3" w:rsidRPr="00AF0C16">
        <w:rPr>
          <w:rFonts w:cs="Times New Roman"/>
          <w:szCs w:val="28"/>
        </w:rPr>
        <w:t>и</w:t>
      </w:r>
      <w:r w:rsidRPr="00AF0C16">
        <w:rPr>
          <w:rFonts w:cs="Times New Roman"/>
          <w:szCs w:val="28"/>
        </w:rPr>
        <w:t xml:space="preserve">; 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проведение ведомственного контроля подведомственного </w:t>
      </w:r>
      <w:r w:rsidR="00E87D63" w:rsidRPr="00AF0C16">
        <w:rPr>
          <w:rFonts w:cs="Times New Roman"/>
          <w:szCs w:val="28"/>
        </w:rPr>
        <w:t xml:space="preserve">государственного </w:t>
      </w:r>
      <w:r w:rsidRPr="00AF0C16">
        <w:rPr>
          <w:rFonts w:cs="Times New Roman"/>
          <w:szCs w:val="28"/>
        </w:rPr>
        <w:t>учреждения</w:t>
      </w:r>
      <w:r w:rsidR="00F14B74" w:rsidRPr="00AF0C16">
        <w:rPr>
          <w:rFonts w:cs="Times New Roman"/>
          <w:szCs w:val="28"/>
        </w:rPr>
        <w:t xml:space="preserve"> (</w:t>
      </w:r>
      <w:r w:rsidR="00452AE2" w:rsidRPr="00AF0C16">
        <w:rPr>
          <w:rFonts w:cs="Times New Roman"/>
          <w:szCs w:val="28"/>
        </w:rPr>
        <w:t>проведение камеральных проверок</w:t>
      </w:r>
      <w:r w:rsidR="00F14B74" w:rsidRPr="00AF0C16">
        <w:rPr>
          <w:rFonts w:cs="Times New Roman"/>
          <w:szCs w:val="28"/>
        </w:rPr>
        <w:t>)</w:t>
      </w:r>
      <w:r w:rsidR="00AD4215" w:rsidRPr="00AF0C16">
        <w:rPr>
          <w:rFonts w:cs="Times New Roman"/>
          <w:szCs w:val="28"/>
        </w:rPr>
        <w:t>;</w:t>
      </w:r>
    </w:p>
    <w:p w:rsidR="00312DBB" w:rsidRPr="00AF0C16" w:rsidRDefault="00312DBB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мониторинг и анализ практики применения антимонопольного законодательства;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 - разработка внутренних </w:t>
      </w:r>
      <w:r w:rsidR="00F14B74" w:rsidRPr="00AF0C16">
        <w:rPr>
          <w:rFonts w:cs="Times New Roman"/>
          <w:szCs w:val="28"/>
        </w:rPr>
        <w:t xml:space="preserve">методических </w:t>
      </w:r>
      <w:r w:rsidRPr="00AF0C16">
        <w:rPr>
          <w:rFonts w:cs="Times New Roman"/>
          <w:szCs w:val="28"/>
        </w:rPr>
        <w:t>рекомендаций по описанию объекта закупок и установлению требований к ним;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проведение аналитической работы на предмет выявления конфликта интересов среди сотрудников контрактной службы;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внедрение внутренней </w:t>
      </w:r>
      <w:proofErr w:type="gramStart"/>
      <w:r w:rsidRPr="00AF0C16">
        <w:rPr>
          <w:rFonts w:cs="Times New Roman"/>
          <w:szCs w:val="28"/>
        </w:rPr>
        <w:t xml:space="preserve">процедуры согласования проектов контрактов подведомственного </w:t>
      </w:r>
      <w:r w:rsidR="00E87D63" w:rsidRPr="00AF0C16">
        <w:rPr>
          <w:rFonts w:cs="Times New Roman"/>
          <w:szCs w:val="28"/>
        </w:rPr>
        <w:t xml:space="preserve">государственного </w:t>
      </w:r>
      <w:r w:rsidRPr="00AF0C16">
        <w:rPr>
          <w:rFonts w:cs="Times New Roman"/>
          <w:szCs w:val="28"/>
        </w:rPr>
        <w:t>учреждения</w:t>
      </w:r>
      <w:proofErr w:type="gramEnd"/>
      <w:r w:rsidR="00C2602F" w:rsidRPr="00AF0C16">
        <w:rPr>
          <w:rFonts w:cs="Times New Roman"/>
          <w:szCs w:val="28"/>
        </w:rPr>
        <w:t xml:space="preserve"> </w:t>
      </w:r>
      <w:r w:rsidRPr="00AF0C16">
        <w:rPr>
          <w:rFonts w:cs="Times New Roman"/>
          <w:szCs w:val="28"/>
        </w:rPr>
        <w:t xml:space="preserve">при осуществлении </w:t>
      </w:r>
      <w:r w:rsidR="00C2602F" w:rsidRPr="00AF0C16">
        <w:rPr>
          <w:rFonts w:cs="Times New Roman"/>
          <w:szCs w:val="28"/>
        </w:rPr>
        <w:t xml:space="preserve">им </w:t>
      </w:r>
      <w:r w:rsidRPr="00AF0C16">
        <w:rPr>
          <w:rFonts w:cs="Times New Roman"/>
          <w:szCs w:val="28"/>
        </w:rPr>
        <w:t>закупок</w:t>
      </w:r>
      <w:r w:rsidR="00CA0EE3" w:rsidRPr="00AF0C16">
        <w:rPr>
          <w:rFonts w:cs="Times New Roman"/>
          <w:szCs w:val="28"/>
        </w:rPr>
        <w:t xml:space="preserve"> товаров, работ, услуг для обеспечения государственных нужд (далее – закупки)</w:t>
      </w:r>
      <w:r w:rsidRPr="00AF0C16">
        <w:rPr>
          <w:rFonts w:cs="Times New Roman"/>
          <w:szCs w:val="28"/>
        </w:rPr>
        <w:t xml:space="preserve">; </w:t>
      </w:r>
    </w:p>
    <w:p w:rsidR="00246911" w:rsidRPr="00AF0C16" w:rsidRDefault="00246911" w:rsidP="00AD4215">
      <w:pPr>
        <w:ind w:firstLine="708"/>
        <w:contextualSpacing/>
        <w:rPr>
          <w:rFonts w:cs="Times New Roman"/>
          <w:szCs w:val="28"/>
        </w:rPr>
      </w:pPr>
      <w:proofErr w:type="gramStart"/>
      <w:r w:rsidRPr="00AF0C16">
        <w:rPr>
          <w:rFonts w:cs="Times New Roman"/>
          <w:szCs w:val="28"/>
        </w:rPr>
        <w:t xml:space="preserve">- </w:t>
      </w:r>
      <w:r w:rsidR="00CA0EE3" w:rsidRPr="00AF0C16">
        <w:rPr>
          <w:rFonts w:cs="Times New Roman"/>
          <w:szCs w:val="28"/>
        </w:rPr>
        <w:t xml:space="preserve">применение в деятельности </w:t>
      </w:r>
      <w:r w:rsidR="004F7D88" w:rsidRPr="00AF0C16">
        <w:rPr>
          <w:rFonts w:cs="Times New Roman"/>
          <w:szCs w:val="28"/>
        </w:rPr>
        <w:t>р</w:t>
      </w:r>
      <w:r w:rsidR="00370FC2" w:rsidRPr="00AF0C16">
        <w:rPr>
          <w:rFonts w:cs="Times New Roman"/>
          <w:szCs w:val="28"/>
        </w:rPr>
        <w:t>аспоряжени</w:t>
      </w:r>
      <w:r w:rsidR="004F7D88" w:rsidRPr="00AF0C16">
        <w:rPr>
          <w:rFonts w:cs="Times New Roman"/>
          <w:szCs w:val="28"/>
        </w:rPr>
        <w:t>я</w:t>
      </w:r>
      <w:r w:rsidR="00370FC2" w:rsidRPr="00AF0C16">
        <w:rPr>
          <w:rFonts w:cs="Times New Roman"/>
          <w:szCs w:val="28"/>
        </w:rPr>
        <w:t xml:space="preserve"> Комитета от 23.10.2020 № 92 «Об</w:t>
      </w:r>
      <w:r w:rsidR="00AD4215" w:rsidRPr="00AF0C16">
        <w:rPr>
          <w:rFonts w:cs="Times New Roman"/>
          <w:szCs w:val="28"/>
        </w:rPr>
        <w:t> </w:t>
      </w:r>
      <w:r w:rsidR="00370FC2" w:rsidRPr="00AF0C16">
        <w:rPr>
          <w:rFonts w:cs="Times New Roman"/>
          <w:szCs w:val="28"/>
        </w:rPr>
        <w:t xml:space="preserve">утверждении реестра (карты) коррупционных рисков, возникающих при </w:t>
      </w:r>
      <w:r w:rsidR="00370FC2" w:rsidRPr="00AF0C16">
        <w:rPr>
          <w:rFonts w:cs="Times New Roman"/>
          <w:szCs w:val="28"/>
        </w:rPr>
        <w:lastRenderedPageBreak/>
        <w:t>осуществлении закупок товаров (работ, услуг) для обеспечения государственных нужд</w:t>
      </w:r>
      <w:r w:rsidR="00C0768A" w:rsidRPr="00AF0C16">
        <w:rPr>
          <w:rFonts w:cs="Times New Roman"/>
          <w:szCs w:val="28"/>
        </w:rPr>
        <w:t>, и плана (</w:t>
      </w:r>
      <w:r w:rsidR="00370FC2" w:rsidRPr="00AF0C16">
        <w:rPr>
          <w:rFonts w:cs="Times New Roman"/>
          <w:szCs w:val="28"/>
        </w:rPr>
        <w:t>реестра) мер, направленных на минимизацию коррупционных рисков при осуществлении закупок товаров (работ, услуг) для обеспечения государственных нужд, заказчиком которых является комитет по местному самоуправлению, межнациональным и межконфессиональным отношениям Ленинградской области»</w:t>
      </w:r>
      <w:r w:rsidR="00CA0EE3" w:rsidRPr="00AF0C16">
        <w:rPr>
          <w:rFonts w:cs="Times New Roman"/>
          <w:szCs w:val="28"/>
        </w:rPr>
        <w:t>;</w:t>
      </w:r>
      <w:proofErr w:type="gramEnd"/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не допускалось (путем проведения постоянного внутреннего контроля) при проведении конкурентных процедур и закупок у единственного поставщика (п</w:t>
      </w:r>
      <w:r w:rsidR="004D440E" w:rsidRPr="00AF0C16">
        <w:rPr>
          <w:rFonts w:cs="Times New Roman"/>
          <w:szCs w:val="28"/>
        </w:rPr>
        <w:t>одрядчика</w:t>
      </w:r>
      <w:r w:rsidR="004F7D88" w:rsidRPr="00AF0C16">
        <w:rPr>
          <w:rFonts w:cs="Times New Roman"/>
          <w:szCs w:val="28"/>
        </w:rPr>
        <w:t>,</w:t>
      </w:r>
      <w:r w:rsidR="004D440E" w:rsidRPr="00AF0C16">
        <w:rPr>
          <w:rFonts w:cs="Times New Roman"/>
          <w:szCs w:val="28"/>
        </w:rPr>
        <w:t xml:space="preserve"> исполнителя) нарушения</w:t>
      </w:r>
      <w:r w:rsidRPr="00AF0C16">
        <w:rPr>
          <w:rFonts w:cs="Times New Roman"/>
          <w:szCs w:val="28"/>
        </w:rPr>
        <w:t xml:space="preserve"> при осуществлении закупок товаров, работ, услуг для обеспечения государственных нужд путем, в том числе: </w:t>
      </w:r>
    </w:p>
    <w:p w:rsidR="00C4346F" w:rsidRPr="00AF0C16" w:rsidRDefault="00AD4215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C4346F" w:rsidRPr="00AF0C16">
        <w:rPr>
          <w:rFonts w:cs="Times New Roman"/>
          <w:szCs w:val="28"/>
        </w:rPr>
        <w:t xml:space="preserve">уклонения от проведения процедуры определения поставщика (подрядчика, исполнителя) предусмотренных Федеральным законом </w:t>
      </w:r>
      <w:r w:rsidR="00C2602F" w:rsidRPr="00AF0C16">
        <w:rPr>
          <w:rFonts w:cs="Times New Roman"/>
          <w:szCs w:val="28"/>
        </w:rPr>
        <w:t>от 05.04.2013 № 44-ФЗ «О</w:t>
      </w:r>
      <w:r w:rsidRPr="00AF0C16">
        <w:rPr>
          <w:rFonts w:cs="Times New Roman"/>
          <w:szCs w:val="28"/>
        </w:rPr>
        <w:t> </w:t>
      </w:r>
      <w:r w:rsidR="00C2602F" w:rsidRPr="00AF0C16">
        <w:rPr>
          <w:rFonts w:cs="Times New Roman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2631D1" w:rsidRPr="00AF0C16">
        <w:rPr>
          <w:rFonts w:cs="Times New Roman"/>
          <w:szCs w:val="28"/>
        </w:rPr>
        <w:t>»</w:t>
      </w:r>
      <w:r w:rsidR="00C2602F" w:rsidRPr="00AF0C16">
        <w:rPr>
          <w:rFonts w:cs="Times New Roman"/>
          <w:szCs w:val="28"/>
        </w:rPr>
        <w:t>;</w:t>
      </w:r>
    </w:p>
    <w:p w:rsidR="00C4346F" w:rsidRPr="00AF0C16" w:rsidRDefault="00AD4215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C4346F" w:rsidRPr="00AF0C16">
        <w:rPr>
          <w:rFonts w:cs="Times New Roman"/>
          <w:szCs w:val="28"/>
        </w:rPr>
        <w:t>включение в описание объекта закупки требований или указаний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товаров, требований к товарам, работам, услугам при условии, если такие требования или указания влекут за собой ограничения количества участников закупки;</w:t>
      </w:r>
    </w:p>
    <w:p w:rsidR="00C4346F" w:rsidRPr="00AF0C16" w:rsidRDefault="00AD4215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C4346F" w:rsidRPr="00AF0C16">
        <w:rPr>
          <w:rFonts w:cs="Times New Roman"/>
          <w:szCs w:val="28"/>
        </w:rPr>
        <w:t>нарушения порядка определения и обоснования начальной (максимальной)  цены контракта (НМЦК)</w:t>
      </w:r>
      <w:r w:rsidR="002631D1" w:rsidRPr="00AF0C16">
        <w:rPr>
          <w:rFonts w:cs="Times New Roman"/>
          <w:szCs w:val="28"/>
        </w:rPr>
        <w:t>, завышение  или занижение НМЦК;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использование в контрактах завышенных требований к участнику, не</w:t>
      </w:r>
      <w:r w:rsidR="00AD421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предусмотренных действующим законодательством (установка нереальных сроков поставок, выполнения работ, оказания услуг)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установление требований к товарам, использование которых не</w:t>
      </w:r>
      <w:r w:rsidR="00AD421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предусмотрено при производстве работ,</w:t>
      </w:r>
      <w:r w:rsidR="00DE0DF0" w:rsidRPr="00AF0C16">
        <w:rPr>
          <w:rFonts w:cs="Times New Roman"/>
          <w:szCs w:val="28"/>
        </w:rPr>
        <w:t xml:space="preserve"> оказании услуг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нарушения порядка оп</w:t>
      </w:r>
      <w:r w:rsidR="00AD4215" w:rsidRPr="00AF0C16">
        <w:rPr>
          <w:rFonts w:cs="Times New Roman"/>
          <w:szCs w:val="28"/>
        </w:rPr>
        <w:t xml:space="preserve">ределения победителя в рамках </w:t>
      </w:r>
      <w:r w:rsidRPr="00AF0C16">
        <w:rPr>
          <w:rFonts w:cs="Times New Roman"/>
          <w:szCs w:val="28"/>
        </w:rPr>
        <w:t>процедуры определения поставщика (подрядчика, исполнителя)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не использование типовых условий контрактов, в случаях, предусмотренных закон</w:t>
      </w:r>
      <w:r w:rsidR="00024144" w:rsidRPr="00AF0C16">
        <w:rPr>
          <w:rFonts w:cs="Times New Roman"/>
          <w:szCs w:val="28"/>
        </w:rPr>
        <w:t>одательством;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«дробления» закупки с целью заключения контракта с единственным поставщиком без</w:t>
      </w:r>
      <w:r w:rsidR="00024144" w:rsidRPr="00AF0C16">
        <w:rPr>
          <w:rFonts w:cs="Times New Roman"/>
          <w:szCs w:val="28"/>
        </w:rPr>
        <w:t xml:space="preserve"> проведения конкурентных торгов;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выбор ненадлежащего способа определения поставщика (подрядчика, исполнителя), в том числе заключение контракта с единственным поставщиком без достаточных на то оснований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несоответствие целей объекта  закупки целям государственной программы Ленинградской области «Устойчивое общественное развитие в Ленинградской области», утвержденной постановлением Правительства Ленинградской области от</w:t>
      </w:r>
      <w:r w:rsidR="00AD421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14</w:t>
      </w:r>
      <w:r w:rsidR="004F7D88" w:rsidRPr="00AF0C16">
        <w:rPr>
          <w:rFonts w:cs="Times New Roman"/>
          <w:szCs w:val="28"/>
        </w:rPr>
        <w:t>.11.</w:t>
      </w:r>
      <w:r w:rsidRPr="00AF0C16">
        <w:rPr>
          <w:rFonts w:cs="Times New Roman"/>
          <w:szCs w:val="28"/>
        </w:rPr>
        <w:t>2013 № 399, в рамках которой реализуются мероприятия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proofErr w:type="gramStart"/>
      <w:r w:rsidRPr="00AF0C16">
        <w:rPr>
          <w:rFonts w:cs="Times New Roman"/>
          <w:szCs w:val="28"/>
        </w:rPr>
        <w:t>не размещение</w:t>
      </w:r>
      <w:proofErr w:type="gramEnd"/>
      <w:r w:rsidRPr="00AF0C16">
        <w:rPr>
          <w:rFonts w:cs="Times New Roman"/>
          <w:szCs w:val="28"/>
        </w:rPr>
        <w:t xml:space="preserve"> в ЕИС информации, подлежащей опубликованию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заключение и реализация </w:t>
      </w:r>
      <w:proofErr w:type="spellStart"/>
      <w:r w:rsidRPr="00AF0C16">
        <w:rPr>
          <w:rFonts w:cs="Times New Roman"/>
          <w:szCs w:val="28"/>
        </w:rPr>
        <w:t>антиконкурентных</w:t>
      </w:r>
      <w:proofErr w:type="spellEnd"/>
      <w:r w:rsidRPr="00AF0C16">
        <w:rPr>
          <w:rFonts w:cs="Times New Roman"/>
          <w:szCs w:val="28"/>
        </w:rPr>
        <w:t>, картельных соглашений, согласование действий на торгах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противоправное поведение (действие) путем создания видимости конкуренции на торгах</w:t>
      </w:r>
      <w:r w:rsidR="004F7D88" w:rsidRPr="00AF0C16">
        <w:rPr>
          <w:rFonts w:cs="Times New Roman"/>
          <w:szCs w:val="28"/>
        </w:rPr>
        <w:t>;</w:t>
      </w:r>
    </w:p>
    <w:p w:rsidR="00C4346F" w:rsidRPr="00AF0C16" w:rsidRDefault="00780103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lastRenderedPageBreak/>
        <w:t xml:space="preserve">- </w:t>
      </w:r>
      <w:r w:rsidR="00C4346F" w:rsidRPr="00AF0C16">
        <w:rPr>
          <w:rFonts w:cs="Times New Roman"/>
          <w:szCs w:val="28"/>
        </w:rPr>
        <w:t>утверждения конкурсной документации, повл</w:t>
      </w:r>
      <w:r w:rsidR="004F7D88" w:rsidRPr="00AF0C16">
        <w:rPr>
          <w:rFonts w:cs="Times New Roman"/>
          <w:szCs w:val="28"/>
        </w:rPr>
        <w:t>е</w:t>
      </w:r>
      <w:r w:rsidR="00C4346F" w:rsidRPr="00AF0C16">
        <w:rPr>
          <w:rFonts w:cs="Times New Roman"/>
          <w:szCs w:val="28"/>
        </w:rPr>
        <w:t>кшей за собой нарушение антимонопольного законодательства</w:t>
      </w:r>
      <w:r w:rsidR="004F7D88" w:rsidRPr="00AF0C16">
        <w:rPr>
          <w:rFonts w:cs="Times New Roman"/>
          <w:szCs w:val="28"/>
        </w:rPr>
        <w:t>;</w:t>
      </w:r>
      <w:r w:rsidR="00C4346F" w:rsidRPr="00AF0C16">
        <w:rPr>
          <w:rFonts w:cs="Times New Roman"/>
          <w:szCs w:val="28"/>
        </w:rPr>
        <w:t xml:space="preserve"> 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создания участнику закупки преимущественных условий участия в</w:t>
      </w:r>
      <w:r w:rsidR="00AD421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процедуре определения поставщика (подрядчика, исполнителя).</w:t>
      </w:r>
    </w:p>
    <w:p w:rsidR="004F7D88" w:rsidRPr="00AF0C16" w:rsidRDefault="00C4346F" w:rsidP="00C4346F">
      <w:pPr>
        <w:ind w:firstLine="708"/>
        <w:contextualSpacing/>
        <w:rPr>
          <w:rFonts w:cs="Times New Roman"/>
          <w:szCs w:val="28"/>
          <w:u w:val="single"/>
        </w:rPr>
      </w:pPr>
      <w:r w:rsidRPr="00AF0C16">
        <w:rPr>
          <w:rFonts w:cs="Times New Roman"/>
          <w:szCs w:val="28"/>
          <w:u w:val="single"/>
        </w:rPr>
        <w:t xml:space="preserve">По пункту 2 дорожной карты. </w:t>
      </w:r>
    </w:p>
    <w:p w:rsidR="009316B9" w:rsidRPr="00AF0C16" w:rsidRDefault="002631D1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1.</w:t>
      </w:r>
      <w:r w:rsidR="00CB417B" w:rsidRPr="00AF0C16">
        <w:rPr>
          <w:rFonts w:cs="Times New Roman"/>
          <w:szCs w:val="28"/>
        </w:rPr>
        <w:t xml:space="preserve"> </w:t>
      </w:r>
      <w:r w:rsidR="00431CFE" w:rsidRPr="00AF0C16">
        <w:rPr>
          <w:rFonts w:cs="Times New Roman"/>
          <w:szCs w:val="28"/>
        </w:rPr>
        <w:t xml:space="preserve">Осуществлено совершенствование системы </w:t>
      </w:r>
      <w:proofErr w:type="gramStart"/>
      <w:r w:rsidR="00431CFE" w:rsidRPr="00AF0C16">
        <w:rPr>
          <w:rFonts w:cs="Times New Roman"/>
          <w:szCs w:val="28"/>
        </w:rPr>
        <w:t>контроля за</w:t>
      </w:r>
      <w:proofErr w:type="gramEnd"/>
      <w:r w:rsidR="00431CFE" w:rsidRPr="00AF0C16">
        <w:rPr>
          <w:rFonts w:cs="Times New Roman"/>
          <w:szCs w:val="28"/>
        </w:rPr>
        <w:t xml:space="preserve"> соблюдением действующего антимонопольного  законодательства. В отчетном периоде</w:t>
      </w:r>
      <w:r w:rsidR="009316B9" w:rsidRPr="00AF0C16">
        <w:rPr>
          <w:rFonts w:cs="Times New Roman"/>
          <w:szCs w:val="28"/>
        </w:rPr>
        <w:t>:</w:t>
      </w:r>
    </w:p>
    <w:p w:rsidR="00431CFE" w:rsidRPr="00AF0C16" w:rsidRDefault="009316B9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</w:t>
      </w:r>
      <w:r w:rsidR="004F7D88" w:rsidRPr="00AF0C16">
        <w:rPr>
          <w:rFonts w:cs="Times New Roman"/>
          <w:szCs w:val="28"/>
        </w:rPr>
        <w:t xml:space="preserve"> </w:t>
      </w:r>
      <w:r w:rsidR="002631D1" w:rsidRPr="00AF0C16">
        <w:rPr>
          <w:rFonts w:cs="Times New Roman"/>
          <w:szCs w:val="28"/>
        </w:rPr>
        <w:t xml:space="preserve">осуществлено </w:t>
      </w:r>
      <w:r w:rsidR="00431CFE" w:rsidRPr="00AF0C16">
        <w:rPr>
          <w:rFonts w:cs="Times New Roman"/>
          <w:szCs w:val="28"/>
        </w:rPr>
        <w:t>повышение  квалификации государственных гражданских служащих Комитета, ответственных за создание и организацию системы внутреннего обеспечения  соответствия  требованиям ан</w:t>
      </w:r>
      <w:r w:rsidRPr="00AF0C16">
        <w:rPr>
          <w:rFonts w:cs="Times New Roman"/>
          <w:szCs w:val="28"/>
        </w:rPr>
        <w:t>тимонопольного законодательства;</w:t>
      </w:r>
    </w:p>
    <w:p w:rsidR="00DE0DF0" w:rsidRPr="00AF0C16" w:rsidRDefault="00DE0DF0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осуществлен монитор</w:t>
      </w:r>
      <w:r w:rsidR="004F7D88" w:rsidRPr="00AF0C16">
        <w:rPr>
          <w:rFonts w:cs="Times New Roman"/>
          <w:szCs w:val="28"/>
        </w:rPr>
        <w:t>инг</w:t>
      </w:r>
      <w:r w:rsidRPr="00AF0C16">
        <w:rPr>
          <w:rFonts w:cs="Times New Roman"/>
          <w:szCs w:val="28"/>
        </w:rPr>
        <w:t xml:space="preserve"> и анализ практики  применения антимонопольного</w:t>
      </w:r>
      <w:r w:rsidR="007D3EDA" w:rsidRPr="00AF0C16">
        <w:rPr>
          <w:rFonts w:cs="Times New Roman"/>
          <w:szCs w:val="28"/>
        </w:rPr>
        <w:t xml:space="preserve"> законодательства;</w:t>
      </w:r>
    </w:p>
    <w:p w:rsidR="009316B9" w:rsidRPr="00AF0C16" w:rsidRDefault="009316B9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CB417B" w:rsidRPr="00AF0C16">
        <w:rPr>
          <w:rFonts w:cs="Times New Roman"/>
          <w:szCs w:val="28"/>
        </w:rPr>
        <w:t xml:space="preserve">осуществлено </w:t>
      </w:r>
      <w:r w:rsidRPr="00AF0C16">
        <w:rPr>
          <w:rFonts w:cs="Times New Roman"/>
          <w:szCs w:val="28"/>
        </w:rPr>
        <w:t>самостоятельно</w:t>
      </w:r>
      <w:r w:rsidR="00CB417B" w:rsidRPr="00AF0C16">
        <w:rPr>
          <w:rFonts w:cs="Times New Roman"/>
          <w:szCs w:val="28"/>
        </w:rPr>
        <w:t>е</w:t>
      </w:r>
      <w:r w:rsidRPr="00AF0C16">
        <w:rPr>
          <w:rFonts w:cs="Times New Roman"/>
          <w:szCs w:val="28"/>
        </w:rPr>
        <w:t xml:space="preserve"> изучение </w:t>
      </w:r>
      <w:r w:rsidR="00CB417B" w:rsidRPr="00AF0C16">
        <w:rPr>
          <w:rFonts w:cs="Times New Roman"/>
          <w:szCs w:val="28"/>
        </w:rPr>
        <w:t>сотрудниками</w:t>
      </w:r>
      <w:r w:rsidRPr="00AF0C16">
        <w:rPr>
          <w:rFonts w:cs="Times New Roman"/>
          <w:szCs w:val="28"/>
        </w:rPr>
        <w:t xml:space="preserve"> Комитета положений </w:t>
      </w:r>
      <w:r w:rsidR="00CB417B" w:rsidRPr="00AF0C16">
        <w:rPr>
          <w:rFonts w:cs="Times New Roman"/>
          <w:szCs w:val="28"/>
        </w:rPr>
        <w:t>Федерального закона от 26.07.20</w:t>
      </w:r>
      <w:r w:rsidR="00B36E29" w:rsidRPr="00AF0C16">
        <w:rPr>
          <w:rFonts w:cs="Times New Roman"/>
          <w:szCs w:val="28"/>
        </w:rPr>
        <w:t>06 № 135-ФЗ «</w:t>
      </w:r>
      <w:r w:rsidRPr="00AF0C16">
        <w:rPr>
          <w:rFonts w:cs="Times New Roman"/>
          <w:szCs w:val="28"/>
        </w:rPr>
        <w:t>О защите конкуренции»;</w:t>
      </w:r>
    </w:p>
    <w:p w:rsidR="009316B9" w:rsidRPr="00AF0C16" w:rsidRDefault="009316B9" w:rsidP="00C4346F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использование в работе и учет практик, содержащихся в «Черных  книгах»</w:t>
      </w:r>
      <w:r w:rsidR="00AD4215" w:rsidRPr="00AF0C16">
        <w:rPr>
          <w:rFonts w:cs="Times New Roman"/>
          <w:szCs w:val="28"/>
        </w:rPr>
        <w:t xml:space="preserve"> и в «Белых книгах» ФАС России.</w:t>
      </w:r>
    </w:p>
    <w:p w:rsidR="00C4346F" w:rsidRPr="00AF0C16" w:rsidRDefault="002631D1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2.</w:t>
      </w:r>
      <w:r w:rsidR="00431CFE" w:rsidRPr="00AF0C16">
        <w:rPr>
          <w:rFonts w:cs="Times New Roman"/>
          <w:szCs w:val="28"/>
        </w:rPr>
        <w:t xml:space="preserve"> </w:t>
      </w:r>
      <w:r w:rsidR="00C4346F" w:rsidRPr="00AF0C16">
        <w:rPr>
          <w:rFonts w:cs="Times New Roman"/>
          <w:szCs w:val="28"/>
        </w:rPr>
        <w:t>В отчетном периоде не установлены нарушения антимонопольного законодательства при предоставлении субсидий.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Осуществлялся постоянный </w:t>
      </w:r>
      <w:proofErr w:type="gramStart"/>
      <w:r w:rsidRPr="00AF0C16">
        <w:rPr>
          <w:rFonts w:cs="Times New Roman"/>
          <w:szCs w:val="28"/>
        </w:rPr>
        <w:t>контроль за</w:t>
      </w:r>
      <w:proofErr w:type="gramEnd"/>
      <w:r w:rsidRPr="00AF0C16">
        <w:rPr>
          <w:rFonts w:cs="Times New Roman"/>
          <w:szCs w:val="28"/>
        </w:rPr>
        <w:t xml:space="preserve"> порядком </w:t>
      </w:r>
      <w:r w:rsidR="002631D1" w:rsidRPr="00AF0C16">
        <w:rPr>
          <w:rFonts w:cs="Times New Roman"/>
          <w:szCs w:val="28"/>
        </w:rPr>
        <w:t>выдачи субсидий, предусмотренных</w:t>
      </w:r>
      <w:r w:rsidRPr="00AF0C16">
        <w:rPr>
          <w:rFonts w:cs="Times New Roman"/>
          <w:szCs w:val="28"/>
        </w:rPr>
        <w:t xml:space="preserve">  нормативными правовыми актами, в том числе: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за соответствием порядка выдачи субсидий, предусмотренного нормативными правовыми актами;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за соответствием получателя субсид</w:t>
      </w:r>
      <w:r w:rsidR="002C0E37" w:rsidRPr="00AF0C16">
        <w:rPr>
          <w:rFonts w:cs="Times New Roman"/>
          <w:szCs w:val="28"/>
        </w:rPr>
        <w:t>ий требованиям, предусмотренных</w:t>
      </w:r>
      <w:r w:rsidRPr="00AF0C16">
        <w:rPr>
          <w:rFonts w:cs="Times New Roman"/>
          <w:szCs w:val="28"/>
        </w:rPr>
        <w:t xml:space="preserve"> нормативными правовыми актами (не предоставление субсидий при несоответствии получателя субсид</w:t>
      </w:r>
      <w:r w:rsidR="002C0E37" w:rsidRPr="00AF0C16">
        <w:rPr>
          <w:rFonts w:cs="Times New Roman"/>
          <w:szCs w:val="28"/>
        </w:rPr>
        <w:t>ий требованиям, предусмотренных</w:t>
      </w:r>
      <w:r w:rsidRPr="00AF0C16">
        <w:rPr>
          <w:rFonts w:cs="Times New Roman"/>
          <w:szCs w:val="28"/>
        </w:rPr>
        <w:t xml:space="preserve"> нормативными правовыми актами);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за наличием в открытом доступе в информационно-телекоммуникационной сети </w:t>
      </w:r>
      <w:r w:rsidR="00FB4DF5" w:rsidRPr="00AF0C16">
        <w:rPr>
          <w:rFonts w:cs="Times New Roman"/>
          <w:szCs w:val="28"/>
        </w:rPr>
        <w:t>«</w:t>
      </w:r>
      <w:r w:rsidRPr="00AF0C16">
        <w:rPr>
          <w:rFonts w:cs="Times New Roman"/>
          <w:szCs w:val="28"/>
        </w:rPr>
        <w:t>Интернет</w:t>
      </w:r>
      <w:r w:rsidR="00FB4DF5" w:rsidRPr="00AF0C16">
        <w:rPr>
          <w:rFonts w:cs="Times New Roman"/>
          <w:szCs w:val="28"/>
        </w:rPr>
        <w:t>»</w:t>
      </w:r>
      <w:r w:rsidRPr="00AF0C16">
        <w:rPr>
          <w:rFonts w:cs="Times New Roman"/>
          <w:szCs w:val="28"/>
        </w:rPr>
        <w:t xml:space="preserve"> объявления о начале приема заявок на получение субсидий;</w:t>
      </w:r>
    </w:p>
    <w:p w:rsidR="00C4346F" w:rsidRPr="00AF0C16" w:rsidRDefault="00C4346F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за созданием единых условий и недопущение создания преимущественных условий  участия  в процедуре получения субсидий;</w:t>
      </w:r>
    </w:p>
    <w:p w:rsidR="000A79B2" w:rsidRPr="00AF0C16" w:rsidRDefault="000A79B2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- повышение уровня</w:t>
      </w:r>
      <w:r w:rsidR="00024144" w:rsidRPr="00AF0C16">
        <w:rPr>
          <w:rFonts w:cs="Times New Roman"/>
          <w:szCs w:val="28"/>
        </w:rPr>
        <w:t xml:space="preserve"> внутриведомственного и межведомственного</w:t>
      </w:r>
      <w:r w:rsidR="006A31B1" w:rsidRPr="00AF0C16">
        <w:rPr>
          <w:rFonts w:cs="Times New Roman"/>
          <w:szCs w:val="28"/>
        </w:rPr>
        <w:t xml:space="preserve"> взаимодействия,</w:t>
      </w:r>
      <w:r w:rsidRPr="00AF0C16">
        <w:rPr>
          <w:rFonts w:cs="Times New Roman"/>
          <w:szCs w:val="28"/>
        </w:rPr>
        <w:t xml:space="preserve"> в том числе электронного, при проверке предоставляемых сведений </w:t>
      </w:r>
      <w:r w:rsidR="00312DBB" w:rsidRPr="00AF0C16">
        <w:rPr>
          <w:rFonts w:cs="Times New Roman"/>
          <w:szCs w:val="28"/>
        </w:rPr>
        <w:t xml:space="preserve"> по субсидиям</w:t>
      </w:r>
      <w:r w:rsidR="006A31B1" w:rsidRPr="00AF0C16">
        <w:rPr>
          <w:rFonts w:cs="Times New Roman"/>
          <w:szCs w:val="28"/>
        </w:rPr>
        <w:t>.</w:t>
      </w:r>
    </w:p>
    <w:p w:rsidR="00276FFD" w:rsidRPr="00AF0C16" w:rsidRDefault="0067740F" w:rsidP="00AD4215">
      <w:pPr>
        <w:ind w:firstLine="708"/>
        <w:contextualSpacing/>
        <w:rPr>
          <w:rFonts w:cs="Times New Roman"/>
          <w:szCs w:val="28"/>
        </w:rPr>
      </w:pPr>
      <w:proofErr w:type="gramStart"/>
      <w:r w:rsidRPr="00AF0C16">
        <w:rPr>
          <w:rFonts w:cs="Times New Roman"/>
          <w:szCs w:val="28"/>
        </w:rPr>
        <w:t>Субсидии в 2025</w:t>
      </w:r>
      <w:r w:rsidR="00B648CE" w:rsidRPr="00AF0C16">
        <w:rPr>
          <w:rFonts w:cs="Times New Roman"/>
          <w:szCs w:val="28"/>
        </w:rPr>
        <w:t xml:space="preserve"> году </w:t>
      </w:r>
      <w:r w:rsidR="009A35A2" w:rsidRPr="00AF0C16">
        <w:rPr>
          <w:rFonts w:cs="Times New Roman"/>
          <w:szCs w:val="28"/>
        </w:rPr>
        <w:t xml:space="preserve">предоставлялись </w:t>
      </w:r>
      <w:r w:rsidR="00B648CE" w:rsidRPr="00AF0C16">
        <w:rPr>
          <w:rFonts w:cs="Times New Roman"/>
          <w:szCs w:val="28"/>
        </w:rPr>
        <w:t xml:space="preserve">согласно </w:t>
      </w:r>
      <w:r w:rsidR="00276FFD" w:rsidRPr="00AF0C16">
        <w:rPr>
          <w:rFonts w:cs="Times New Roman"/>
          <w:szCs w:val="28"/>
        </w:rPr>
        <w:t>р</w:t>
      </w:r>
      <w:r w:rsidR="00B648CE" w:rsidRPr="00AF0C16">
        <w:rPr>
          <w:rFonts w:cs="Times New Roman"/>
          <w:szCs w:val="28"/>
        </w:rPr>
        <w:t xml:space="preserve">аспоряжению </w:t>
      </w:r>
      <w:r w:rsidR="00276FFD" w:rsidRPr="00AF0C16">
        <w:rPr>
          <w:rFonts w:cs="Times New Roman"/>
          <w:szCs w:val="28"/>
        </w:rPr>
        <w:t>К</w:t>
      </w:r>
      <w:r w:rsidR="00B648CE" w:rsidRPr="00AF0C16">
        <w:rPr>
          <w:rFonts w:cs="Times New Roman"/>
          <w:szCs w:val="28"/>
        </w:rPr>
        <w:t>омитета от</w:t>
      </w:r>
      <w:r w:rsidR="00FB4DF5" w:rsidRPr="00AF0C16">
        <w:rPr>
          <w:rFonts w:cs="Times New Roman"/>
          <w:szCs w:val="28"/>
        </w:rPr>
        <w:t> </w:t>
      </w:r>
      <w:r w:rsidR="00CF55D6" w:rsidRPr="00AF0C16">
        <w:rPr>
          <w:rFonts w:cs="Times New Roman"/>
          <w:szCs w:val="28"/>
        </w:rPr>
        <w:t>23.04.2025 № 46</w:t>
      </w:r>
      <w:r w:rsidR="004A4C30" w:rsidRPr="00AF0C16">
        <w:rPr>
          <w:rFonts w:cs="Times New Roman"/>
          <w:szCs w:val="28"/>
        </w:rPr>
        <w:t xml:space="preserve"> </w:t>
      </w:r>
      <w:r w:rsidR="00B648CE" w:rsidRPr="00AF0C16">
        <w:rPr>
          <w:rFonts w:cs="Times New Roman"/>
          <w:szCs w:val="28"/>
        </w:rPr>
        <w:t>«О реализации Порядка предоставления и распределения субсидий бюджетам муниципальных образований Ленинградской области из</w:t>
      </w:r>
      <w:r w:rsidR="00FB4DF5" w:rsidRPr="00AF0C16">
        <w:rPr>
          <w:rFonts w:cs="Times New Roman"/>
          <w:szCs w:val="28"/>
        </w:rPr>
        <w:t> </w:t>
      </w:r>
      <w:r w:rsidR="00B648CE" w:rsidRPr="00AF0C16">
        <w:rPr>
          <w:rFonts w:cs="Times New Roman"/>
          <w:szCs w:val="28"/>
        </w:rPr>
        <w:t>областного бюджета Ленинградской области  на ре</w:t>
      </w:r>
      <w:r w:rsidR="004A4C30" w:rsidRPr="00AF0C16">
        <w:rPr>
          <w:rFonts w:cs="Times New Roman"/>
          <w:szCs w:val="28"/>
        </w:rPr>
        <w:t xml:space="preserve">ализацию областного закона от 16 </w:t>
      </w:r>
      <w:r w:rsidR="00240B81" w:rsidRPr="00AF0C16">
        <w:rPr>
          <w:rFonts w:cs="Times New Roman"/>
          <w:szCs w:val="28"/>
        </w:rPr>
        <w:t>февраля  2024 года № 10</w:t>
      </w:r>
      <w:r w:rsidR="00B648CE" w:rsidRPr="00AF0C16">
        <w:rPr>
          <w:rFonts w:cs="Times New Roman"/>
          <w:szCs w:val="28"/>
        </w:rPr>
        <w:t xml:space="preserve">-оз «О </w:t>
      </w:r>
      <w:r w:rsidR="00276FFD" w:rsidRPr="00AF0C16">
        <w:rPr>
          <w:rFonts w:cs="Times New Roman"/>
          <w:szCs w:val="28"/>
        </w:rPr>
        <w:t>содействии участию населения в</w:t>
      </w:r>
      <w:r w:rsidR="00FB4DF5" w:rsidRPr="00AF0C16">
        <w:rPr>
          <w:rFonts w:cs="Times New Roman"/>
          <w:szCs w:val="28"/>
        </w:rPr>
        <w:t> </w:t>
      </w:r>
      <w:r w:rsidR="00276FFD" w:rsidRPr="00AF0C16">
        <w:rPr>
          <w:rFonts w:cs="Times New Roman"/>
          <w:szCs w:val="28"/>
        </w:rPr>
        <w:t>осуществлении местного самоуправления в Ленинградской области»</w:t>
      </w:r>
      <w:r w:rsidR="00CF55D6" w:rsidRPr="00AF0C16">
        <w:rPr>
          <w:rFonts w:cs="Times New Roman"/>
          <w:szCs w:val="28"/>
        </w:rPr>
        <w:t xml:space="preserve"> в 2025 году</w:t>
      </w:r>
      <w:r w:rsidR="00276FFD" w:rsidRPr="00AF0C16">
        <w:rPr>
          <w:rFonts w:cs="Times New Roman"/>
          <w:szCs w:val="28"/>
        </w:rPr>
        <w:t>.</w:t>
      </w:r>
      <w:proofErr w:type="gramEnd"/>
    </w:p>
    <w:p w:rsidR="009316B9" w:rsidRPr="00AF0C16" w:rsidRDefault="002631D1" w:rsidP="00AD4215">
      <w:pPr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3.</w:t>
      </w:r>
      <w:r w:rsidR="009316B9" w:rsidRPr="00AF0C16">
        <w:rPr>
          <w:rFonts w:cs="Times New Roman"/>
          <w:szCs w:val="28"/>
        </w:rPr>
        <w:t xml:space="preserve"> </w:t>
      </w:r>
      <w:r w:rsidR="009925C0" w:rsidRPr="00AF0C16">
        <w:rPr>
          <w:rFonts w:cs="Times New Roman"/>
          <w:szCs w:val="28"/>
        </w:rPr>
        <w:t xml:space="preserve">Проведено усиление внутреннего </w:t>
      </w:r>
      <w:proofErr w:type="gramStart"/>
      <w:r w:rsidR="009925C0" w:rsidRPr="00AF0C16">
        <w:rPr>
          <w:rFonts w:cs="Times New Roman"/>
          <w:szCs w:val="28"/>
        </w:rPr>
        <w:t>контроля за</w:t>
      </w:r>
      <w:proofErr w:type="gramEnd"/>
      <w:r w:rsidR="009925C0" w:rsidRPr="00AF0C16">
        <w:rPr>
          <w:rFonts w:cs="Times New Roman"/>
          <w:szCs w:val="28"/>
        </w:rPr>
        <w:t xml:space="preserve"> соблюдением порядка подготовки ответов на обращения граждан и юридических лиц. </w:t>
      </w:r>
      <w:proofErr w:type="gramStart"/>
      <w:r w:rsidR="009316B9" w:rsidRPr="00AF0C16">
        <w:rPr>
          <w:rFonts w:cs="Times New Roman"/>
          <w:szCs w:val="28"/>
        </w:rPr>
        <w:t>Сотрудниками Комитета при подготовке ответов на обращения граждан и юридических лиц в</w:t>
      </w:r>
      <w:r w:rsidR="00FB4DF5" w:rsidRPr="00AF0C16">
        <w:rPr>
          <w:rFonts w:cs="Times New Roman"/>
          <w:szCs w:val="28"/>
        </w:rPr>
        <w:t> </w:t>
      </w:r>
      <w:r w:rsidR="009316B9" w:rsidRPr="00AF0C16">
        <w:rPr>
          <w:rFonts w:cs="Times New Roman"/>
          <w:szCs w:val="28"/>
        </w:rPr>
        <w:t xml:space="preserve">полной мере соблюдались требования Инструкции по делопроизводству в органах исполнительной власти Ленинградской области, утвержденной постановлением </w:t>
      </w:r>
      <w:r w:rsidR="009316B9" w:rsidRPr="00AF0C16">
        <w:rPr>
          <w:rFonts w:cs="Times New Roman"/>
          <w:szCs w:val="28"/>
        </w:rPr>
        <w:lastRenderedPageBreak/>
        <w:t>Губернатора Ленинградской области от 13.02.2018 № 4-пг, осуществлялись проведение внутренней разъяснительной работы по подготовке ответов на</w:t>
      </w:r>
      <w:r w:rsidR="00FB4DF5" w:rsidRPr="00AF0C16">
        <w:rPr>
          <w:rFonts w:cs="Times New Roman"/>
          <w:szCs w:val="28"/>
        </w:rPr>
        <w:t> </w:t>
      </w:r>
      <w:r w:rsidR="009316B9" w:rsidRPr="00AF0C16">
        <w:rPr>
          <w:rFonts w:cs="Times New Roman"/>
          <w:szCs w:val="28"/>
        </w:rPr>
        <w:t>обращения граждан и дополнительный контроль за соблюдением сроков и</w:t>
      </w:r>
      <w:r w:rsidR="00FB4DF5" w:rsidRPr="00AF0C16">
        <w:rPr>
          <w:rFonts w:cs="Times New Roman"/>
          <w:szCs w:val="28"/>
        </w:rPr>
        <w:t> </w:t>
      </w:r>
      <w:r w:rsidR="009316B9" w:rsidRPr="00AF0C16">
        <w:rPr>
          <w:rFonts w:cs="Times New Roman"/>
          <w:szCs w:val="28"/>
        </w:rPr>
        <w:t>требований по подготовке ответов на обращения граждан и юридических</w:t>
      </w:r>
      <w:proofErr w:type="gramEnd"/>
      <w:r w:rsidR="009316B9" w:rsidRPr="00AF0C16">
        <w:rPr>
          <w:rFonts w:cs="Times New Roman"/>
          <w:szCs w:val="28"/>
        </w:rPr>
        <w:t xml:space="preserve">  лиц. Нарушений норм антимонопольного законодательства при подготовке ответов на обращения в отчетном периоде не выявлено. </w:t>
      </w:r>
    </w:p>
    <w:p w:rsidR="00C4346F" w:rsidRPr="00AF0C16" w:rsidRDefault="00C4346F" w:rsidP="00AD4215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В результате проведенного анализа за отчетный период нарушения антимонопольного законодательства в деятельности Комитета не установлены.</w:t>
      </w:r>
    </w:p>
    <w:p w:rsidR="00C4346F" w:rsidRPr="00AF0C16" w:rsidRDefault="00276FFD" w:rsidP="00AD4215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Так</w:t>
      </w:r>
      <w:r w:rsidR="00C4346F" w:rsidRPr="00AF0C16">
        <w:rPr>
          <w:rFonts w:cs="Times New Roman"/>
          <w:szCs w:val="28"/>
        </w:rPr>
        <w:t xml:space="preserve">же отсутствуют нарушения в нормативных правовых актах </w:t>
      </w:r>
      <w:r w:rsidRPr="00AF0C16">
        <w:rPr>
          <w:rFonts w:cs="Times New Roman"/>
          <w:szCs w:val="28"/>
        </w:rPr>
        <w:t>Комитета</w:t>
      </w:r>
      <w:r w:rsidR="00C4346F" w:rsidRPr="00AF0C16">
        <w:rPr>
          <w:rFonts w:cs="Times New Roman"/>
          <w:szCs w:val="28"/>
        </w:rPr>
        <w:t xml:space="preserve">, проектах нормативных правовых актов, разрабатываемых </w:t>
      </w:r>
      <w:r w:rsidRPr="00AF0C16">
        <w:rPr>
          <w:rFonts w:cs="Times New Roman"/>
          <w:szCs w:val="28"/>
        </w:rPr>
        <w:t>К</w:t>
      </w:r>
      <w:r w:rsidR="00C4346F" w:rsidRPr="00AF0C16">
        <w:rPr>
          <w:rFonts w:cs="Times New Roman"/>
          <w:szCs w:val="28"/>
        </w:rPr>
        <w:t>омитетом в ходе практики применения Комитетом антимонопольного законодательства.</w:t>
      </w:r>
    </w:p>
    <w:p w:rsidR="006A31B1" w:rsidRPr="00AF0C16" w:rsidRDefault="006A31B1" w:rsidP="006A31B1">
      <w:pPr>
        <w:ind w:firstLine="708"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Оснований для проведения </w:t>
      </w:r>
      <w:r w:rsidR="0067740F" w:rsidRPr="00AF0C16">
        <w:rPr>
          <w:rFonts w:cs="Times New Roman"/>
          <w:szCs w:val="28"/>
        </w:rPr>
        <w:t>внутреннего расследования в 2025</w:t>
      </w:r>
      <w:r w:rsidRPr="00AF0C16">
        <w:rPr>
          <w:rFonts w:cs="Times New Roman"/>
          <w:szCs w:val="28"/>
        </w:rPr>
        <w:t xml:space="preserve"> году не имелось.</w:t>
      </w:r>
    </w:p>
    <w:p w:rsidR="002D5F0F" w:rsidRPr="00AF0C16" w:rsidRDefault="002D5F0F" w:rsidP="00AD421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proofErr w:type="gramStart"/>
      <w:r w:rsidRPr="00AF0C16">
        <w:rPr>
          <w:rFonts w:cs="Times New Roman"/>
          <w:szCs w:val="28"/>
        </w:rPr>
        <w:t>В соответствии с пунктом 3.3</w:t>
      </w:r>
      <w:r w:rsidR="006A31B1" w:rsidRPr="00AF0C16">
        <w:rPr>
          <w:rFonts w:cs="Times New Roman"/>
          <w:szCs w:val="28"/>
        </w:rPr>
        <w:t xml:space="preserve"> </w:t>
      </w:r>
      <w:r w:rsidR="0022254C" w:rsidRPr="00AF0C16">
        <w:rPr>
          <w:rFonts w:cs="Times New Roman"/>
          <w:szCs w:val="28"/>
        </w:rPr>
        <w:t xml:space="preserve"> Положения об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области, утвержденного </w:t>
      </w:r>
      <w:r w:rsidRPr="00AF0C16">
        <w:rPr>
          <w:rFonts w:cs="Times New Roman"/>
          <w:szCs w:val="28"/>
        </w:rPr>
        <w:t>постановлени</w:t>
      </w:r>
      <w:r w:rsidR="0022254C" w:rsidRPr="00AF0C16">
        <w:rPr>
          <w:rFonts w:cs="Times New Roman"/>
          <w:szCs w:val="28"/>
        </w:rPr>
        <w:t>ем</w:t>
      </w:r>
      <w:r w:rsidRPr="00AF0C16">
        <w:rPr>
          <w:rFonts w:cs="Times New Roman"/>
          <w:szCs w:val="28"/>
        </w:rPr>
        <w:t xml:space="preserve"> Правительства Ленинградской области от</w:t>
      </w:r>
      <w:r w:rsidR="00FB4DF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28.02.2019 № 84</w:t>
      </w:r>
      <w:r w:rsidR="0022254C" w:rsidRPr="00AF0C16">
        <w:rPr>
          <w:rFonts w:cs="Times New Roman"/>
          <w:szCs w:val="28"/>
        </w:rPr>
        <w:t xml:space="preserve"> </w:t>
      </w:r>
      <w:r w:rsidR="006A31B1" w:rsidRPr="00AF0C16">
        <w:rPr>
          <w:rFonts w:cs="Times New Roman"/>
          <w:szCs w:val="28"/>
        </w:rPr>
        <w:t xml:space="preserve">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области» </w:t>
      </w:r>
      <w:r w:rsidR="0022254C" w:rsidRPr="00AF0C16">
        <w:rPr>
          <w:rFonts w:cs="Times New Roman"/>
          <w:szCs w:val="28"/>
        </w:rPr>
        <w:t xml:space="preserve">(далее – Положение), </w:t>
      </w:r>
      <w:r w:rsidRPr="00AF0C16">
        <w:rPr>
          <w:rFonts w:cs="Times New Roman"/>
          <w:szCs w:val="28"/>
        </w:rPr>
        <w:t>при выявлении рисков нарушения антимонопольного законодательства уполномоченное подразделение (должностное лицо) органа исполнительной</w:t>
      </w:r>
      <w:proofErr w:type="gramEnd"/>
      <w:r w:rsidRPr="00AF0C16">
        <w:rPr>
          <w:rFonts w:cs="Times New Roman"/>
          <w:szCs w:val="28"/>
        </w:rPr>
        <w:t xml:space="preserve"> власти Ленинградской области </w:t>
      </w:r>
      <w:r w:rsidRPr="00AF0C16">
        <w:rPr>
          <w:rFonts w:cs="Times New Roman"/>
          <w:szCs w:val="28"/>
          <w:u w:val="single"/>
        </w:rPr>
        <w:t>осуществляет оценку</w:t>
      </w:r>
      <w:r w:rsidRPr="00AF0C16">
        <w:rPr>
          <w:rFonts w:cs="Times New Roman"/>
          <w:szCs w:val="28"/>
        </w:rPr>
        <w:t xml:space="preserve"> рисков с учетом следующих показателей:</w:t>
      </w:r>
    </w:p>
    <w:p w:rsidR="002D5F0F" w:rsidRPr="00AF0C16" w:rsidRDefault="002631D1" w:rsidP="00AD4215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2D5F0F" w:rsidRPr="00AF0C16">
        <w:rPr>
          <w:rFonts w:cs="Times New Roman"/>
          <w:szCs w:val="28"/>
        </w:rPr>
        <w:t>выдача органу исполнительной власти Ленинградской области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2D5F0F" w:rsidRPr="00AF0C16" w:rsidRDefault="002631D1" w:rsidP="00AD4215">
      <w:pPr>
        <w:autoSpaceDE w:val="0"/>
        <w:autoSpaceDN w:val="0"/>
        <w:adjustRightInd w:val="0"/>
        <w:ind w:firstLine="708"/>
        <w:contextualSpacing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- </w:t>
      </w:r>
      <w:r w:rsidR="002D5F0F" w:rsidRPr="00AF0C16">
        <w:rPr>
          <w:rFonts w:cs="Times New Roman"/>
          <w:szCs w:val="28"/>
        </w:rPr>
        <w:t>привлечение к административной ответственности в виде наложения административных штрафов на должностных лиц органа исполнительной власти Ленинградской области или в виде их дисквалификации.</w:t>
      </w:r>
    </w:p>
    <w:p w:rsidR="003C2028" w:rsidRPr="00AF0C16" w:rsidRDefault="003C2028" w:rsidP="00AD421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Предупреждения о прекращении действий (бездействия), которые </w:t>
      </w:r>
      <w:proofErr w:type="gramStart"/>
      <w:r w:rsidRPr="00AF0C16">
        <w:rPr>
          <w:rFonts w:cs="Times New Roman"/>
          <w:szCs w:val="28"/>
        </w:rPr>
        <w:t>содержат признаки нарушения антимонопольного законодательства Комитету не выдавались</w:t>
      </w:r>
      <w:proofErr w:type="gramEnd"/>
      <w:r w:rsidRPr="00AF0C16">
        <w:rPr>
          <w:rFonts w:cs="Times New Roman"/>
          <w:szCs w:val="28"/>
        </w:rPr>
        <w:t>.</w:t>
      </w:r>
    </w:p>
    <w:p w:rsidR="007612A5" w:rsidRPr="00AF0C16" w:rsidRDefault="003C2028" w:rsidP="00AD4215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>Никто из должностных лиц Комитета к административной ответственности в</w:t>
      </w:r>
      <w:r w:rsidR="00FB4DF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виде наложения административных штрафов или в виде их дисквалификации не</w:t>
      </w:r>
      <w:r w:rsidR="00FB4DF5" w:rsidRPr="00AF0C16">
        <w:rPr>
          <w:rFonts w:cs="Times New Roman"/>
          <w:szCs w:val="28"/>
        </w:rPr>
        <w:t> </w:t>
      </w:r>
      <w:r w:rsidRPr="00AF0C16">
        <w:rPr>
          <w:rFonts w:cs="Times New Roman"/>
          <w:szCs w:val="28"/>
        </w:rPr>
        <w:t>привлекался.</w:t>
      </w:r>
    </w:p>
    <w:p w:rsidR="002D5F0F" w:rsidRPr="00AF0C16" w:rsidRDefault="002631D1" w:rsidP="00CB6793">
      <w:pPr>
        <w:tabs>
          <w:tab w:val="left" w:pos="1407"/>
        </w:tabs>
        <w:rPr>
          <w:rFonts w:cs="Times New Roman"/>
          <w:b/>
          <w:szCs w:val="28"/>
          <w:u w:val="single"/>
        </w:rPr>
      </w:pPr>
      <w:r w:rsidRPr="00AF0C16">
        <w:rPr>
          <w:rFonts w:cs="Times New Roman"/>
          <w:szCs w:val="28"/>
        </w:rPr>
        <w:t xml:space="preserve">         </w:t>
      </w:r>
      <w:r w:rsidR="002D5F0F" w:rsidRPr="00AF0C16">
        <w:rPr>
          <w:rFonts w:cs="Times New Roman"/>
          <w:szCs w:val="28"/>
        </w:rPr>
        <w:t xml:space="preserve">Учитывая, что в деятельности </w:t>
      </w:r>
      <w:r w:rsidR="00B36E29" w:rsidRPr="00AF0C16">
        <w:rPr>
          <w:rFonts w:cs="Times New Roman"/>
          <w:szCs w:val="28"/>
        </w:rPr>
        <w:t>К</w:t>
      </w:r>
      <w:r w:rsidR="002D5F0F" w:rsidRPr="00AF0C16">
        <w:rPr>
          <w:rFonts w:cs="Times New Roman"/>
          <w:szCs w:val="28"/>
        </w:rPr>
        <w:t>омитета нарушений антимонопольного законодательства не выявлено, согласно п</w:t>
      </w:r>
      <w:r w:rsidR="0022254C" w:rsidRPr="00AF0C16">
        <w:rPr>
          <w:rFonts w:cs="Times New Roman"/>
          <w:szCs w:val="28"/>
        </w:rPr>
        <w:t xml:space="preserve">ункту </w:t>
      </w:r>
      <w:r w:rsidR="002D5F0F" w:rsidRPr="00AF0C16">
        <w:rPr>
          <w:rFonts w:cs="Times New Roman"/>
          <w:szCs w:val="28"/>
        </w:rPr>
        <w:t xml:space="preserve">3.4 </w:t>
      </w:r>
      <w:r w:rsidR="0022254C" w:rsidRPr="00AF0C16">
        <w:rPr>
          <w:rFonts w:cs="Times New Roman"/>
          <w:szCs w:val="28"/>
        </w:rPr>
        <w:t>Положения</w:t>
      </w:r>
      <w:r w:rsidR="002D5F0F" w:rsidRPr="00AF0C16">
        <w:rPr>
          <w:rFonts w:cs="Times New Roman"/>
          <w:szCs w:val="28"/>
        </w:rPr>
        <w:t xml:space="preserve"> </w:t>
      </w:r>
      <w:r w:rsidR="00D747A9" w:rsidRPr="00AF0C16">
        <w:rPr>
          <w:rFonts w:cs="Times New Roman"/>
          <w:szCs w:val="28"/>
        </w:rPr>
        <w:t xml:space="preserve">уровень </w:t>
      </w:r>
      <w:r w:rsidR="002D5F0F" w:rsidRPr="00AF0C16">
        <w:rPr>
          <w:rFonts w:cs="Times New Roman"/>
          <w:szCs w:val="28"/>
        </w:rPr>
        <w:t>риск</w:t>
      </w:r>
      <w:r w:rsidR="00D747A9" w:rsidRPr="00AF0C16">
        <w:rPr>
          <w:rFonts w:cs="Times New Roman"/>
          <w:szCs w:val="28"/>
        </w:rPr>
        <w:t>ов</w:t>
      </w:r>
      <w:r w:rsidR="002D5F0F" w:rsidRPr="00AF0C16">
        <w:rPr>
          <w:rFonts w:cs="Times New Roman"/>
          <w:szCs w:val="28"/>
        </w:rPr>
        <w:t xml:space="preserve">  нарушения антимонопольного законодательства в Комитете в отчетном периоде можно определить </w:t>
      </w:r>
      <w:r w:rsidR="00D747A9" w:rsidRPr="00AF0C16">
        <w:rPr>
          <w:rFonts w:cs="Times New Roman"/>
          <w:szCs w:val="28"/>
        </w:rPr>
        <w:t>как «</w:t>
      </w:r>
      <w:r w:rsidR="002D5F0F" w:rsidRPr="00AF0C16">
        <w:rPr>
          <w:rFonts w:cs="Times New Roman"/>
          <w:b/>
          <w:szCs w:val="28"/>
          <w:u w:val="single"/>
        </w:rPr>
        <w:t>низк</w:t>
      </w:r>
      <w:r w:rsidR="00D747A9" w:rsidRPr="00AF0C16">
        <w:rPr>
          <w:rFonts w:cs="Times New Roman"/>
          <w:b/>
          <w:szCs w:val="28"/>
          <w:u w:val="single"/>
        </w:rPr>
        <w:t>ий</w:t>
      </w:r>
      <w:r w:rsidR="00B36E29" w:rsidRPr="00AF0C16">
        <w:rPr>
          <w:rFonts w:cs="Times New Roman"/>
          <w:b/>
          <w:szCs w:val="28"/>
          <w:u w:val="single"/>
        </w:rPr>
        <w:t xml:space="preserve"> уров</w:t>
      </w:r>
      <w:r w:rsidR="00D747A9" w:rsidRPr="00AF0C16">
        <w:rPr>
          <w:rFonts w:cs="Times New Roman"/>
          <w:b/>
          <w:szCs w:val="28"/>
          <w:u w:val="single"/>
        </w:rPr>
        <w:t>ень»</w:t>
      </w:r>
      <w:r w:rsidR="002D5F0F" w:rsidRPr="00AF0C16">
        <w:rPr>
          <w:rFonts w:cs="Times New Roman"/>
          <w:b/>
          <w:szCs w:val="28"/>
          <w:u w:val="single"/>
        </w:rPr>
        <w:t>.</w:t>
      </w:r>
    </w:p>
    <w:p w:rsidR="006A31B1" w:rsidRPr="00AF0C16" w:rsidRDefault="006A31B1" w:rsidP="00E251CC">
      <w:pPr>
        <w:ind w:firstLine="709"/>
        <w:rPr>
          <w:rFonts w:cs="Times New Roman"/>
          <w:szCs w:val="28"/>
        </w:rPr>
      </w:pPr>
      <w:r w:rsidRPr="00AF0C16">
        <w:rPr>
          <w:rFonts w:cs="Times New Roman"/>
          <w:szCs w:val="28"/>
        </w:rPr>
        <w:t xml:space="preserve">Оценка эффективности функционирования антимонопольного </w:t>
      </w:r>
      <w:proofErr w:type="spellStart"/>
      <w:r w:rsidRPr="00AF0C16">
        <w:rPr>
          <w:rFonts w:cs="Times New Roman"/>
          <w:szCs w:val="28"/>
        </w:rPr>
        <w:t>комплаенса</w:t>
      </w:r>
      <w:proofErr w:type="spellEnd"/>
      <w:r w:rsidRPr="00AF0C16">
        <w:rPr>
          <w:rFonts w:cs="Times New Roman"/>
          <w:szCs w:val="28"/>
        </w:rPr>
        <w:t xml:space="preserve"> в Комитете осуществляется в соответствии с ключевыми показателями эффективно</w:t>
      </w:r>
      <w:r w:rsidR="00E251CC" w:rsidRPr="00AF0C16">
        <w:rPr>
          <w:rFonts w:cs="Times New Roman"/>
          <w:szCs w:val="28"/>
        </w:rPr>
        <w:t xml:space="preserve">сти антимонопольного </w:t>
      </w:r>
      <w:proofErr w:type="spellStart"/>
      <w:r w:rsidR="00E251CC" w:rsidRPr="00AF0C16">
        <w:rPr>
          <w:rFonts w:cs="Times New Roman"/>
          <w:szCs w:val="28"/>
        </w:rPr>
        <w:t>комплаенса</w:t>
      </w:r>
      <w:proofErr w:type="spellEnd"/>
      <w:r w:rsidR="00E251CC" w:rsidRPr="00AF0C16">
        <w:rPr>
          <w:rFonts w:cs="Times New Roman"/>
          <w:szCs w:val="28"/>
        </w:rPr>
        <w:t xml:space="preserve">. </w:t>
      </w:r>
      <w:r w:rsidRPr="00AF0C16">
        <w:rPr>
          <w:rFonts w:cs="Times New Roman"/>
          <w:szCs w:val="28"/>
        </w:rPr>
        <w:t xml:space="preserve"> Расчет ключевых показателей эффективности антимонопольного </w:t>
      </w:r>
      <w:proofErr w:type="spellStart"/>
      <w:r w:rsidRPr="00AF0C16">
        <w:rPr>
          <w:rFonts w:cs="Times New Roman"/>
          <w:szCs w:val="28"/>
        </w:rPr>
        <w:t>комплаенса</w:t>
      </w:r>
      <w:proofErr w:type="spellEnd"/>
      <w:r w:rsidRPr="00AF0C16">
        <w:rPr>
          <w:rFonts w:cs="Times New Roman"/>
          <w:szCs w:val="28"/>
        </w:rPr>
        <w:t xml:space="preserve"> в Комитете осуществляется в соответствии с Методикой расчета ключевых показателей эффективности функционирования в федеральном органе исполнительной власти </w:t>
      </w:r>
      <w:r w:rsidRPr="00AF0C16">
        <w:rPr>
          <w:rFonts w:cs="Times New Roman"/>
          <w:szCs w:val="28"/>
        </w:rPr>
        <w:lastRenderedPageBreak/>
        <w:t xml:space="preserve">антимонопольного </w:t>
      </w:r>
      <w:proofErr w:type="spellStart"/>
      <w:r w:rsidRPr="00AF0C16">
        <w:rPr>
          <w:rFonts w:cs="Times New Roman"/>
          <w:szCs w:val="28"/>
        </w:rPr>
        <w:t>комплаенса</w:t>
      </w:r>
      <w:proofErr w:type="spellEnd"/>
      <w:r w:rsidRPr="00AF0C16">
        <w:rPr>
          <w:rFonts w:cs="Times New Roman"/>
          <w:szCs w:val="28"/>
        </w:rPr>
        <w:t>, утвержденной приказом Федеральной антимонопольной службы от 27.12.2022</w:t>
      </w:r>
      <w:r w:rsidR="008A34FA" w:rsidRPr="00AF0C16">
        <w:rPr>
          <w:rFonts w:cs="Times New Roman"/>
          <w:szCs w:val="28"/>
        </w:rPr>
        <w:t xml:space="preserve"> </w:t>
      </w:r>
      <w:r w:rsidRPr="00AF0C16">
        <w:rPr>
          <w:rFonts w:cs="Times New Roman"/>
          <w:szCs w:val="28"/>
        </w:rPr>
        <w:t>г. № 1034/22.</w:t>
      </w:r>
    </w:p>
    <w:p w:rsidR="006A31B1" w:rsidRPr="00AF0C16" w:rsidRDefault="002631D1" w:rsidP="006A31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C16">
        <w:rPr>
          <w:rFonts w:ascii="Times New Roman" w:hAnsi="Times New Roman" w:cs="Times New Roman"/>
          <w:sz w:val="28"/>
          <w:szCs w:val="28"/>
        </w:rPr>
        <w:t>Ключевыми показателями</w:t>
      </w:r>
      <w:r w:rsidR="006A31B1" w:rsidRPr="00AF0C16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proofErr w:type="gramStart"/>
      <w:r w:rsidR="006A31B1" w:rsidRPr="00AF0C16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6A31B1" w:rsidRPr="00AF0C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B1" w:rsidRPr="00AF0C1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6A31B1" w:rsidRPr="00AF0C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A31B1" w:rsidRPr="00AF0C16" w:rsidRDefault="00EA7567" w:rsidP="006A31B1">
      <w:pPr>
        <w:widowControl w:val="0"/>
        <w:snapToGrid w:val="0"/>
        <w:ind w:firstLine="709"/>
        <w:rPr>
          <w:rFonts w:cs="Times New Roman"/>
          <w:szCs w:val="28"/>
          <w:lang w:eastAsia="ru-RU"/>
        </w:rPr>
      </w:pPr>
      <w:r w:rsidRPr="00AF0C16">
        <w:rPr>
          <w:rFonts w:cs="Times New Roman"/>
          <w:szCs w:val="28"/>
          <w:lang w:eastAsia="ru-RU"/>
        </w:rPr>
        <w:t xml:space="preserve">-  </w:t>
      </w:r>
      <w:r w:rsidR="006A31B1" w:rsidRPr="00AF0C16">
        <w:rPr>
          <w:rFonts w:cs="Times New Roman"/>
          <w:szCs w:val="28"/>
          <w:lang w:eastAsia="ru-RU"/>
        </w:rPr>
        <w:t>коэффициент снижения количества нарушений антимонопольного законодательства со стороны Комитета за последние три года;</w:t>
      </w:r>
    </w:p>
    <w:p w:rsidR="006A31B1" w:rsidRPr="00AF0C16" w:rsidRDefault="00EA7567" w:rsidP="006A31B1">
      <w:pPr>
        <w:widowControl w:val="0"/>
        <w:snapToGrid w:val="0"/>
        <w:ind w:firstLine="709"/>
        <w:rPr>
          <w:rFonts w:cs="Times New Roman"/>
          <w:szCs w:val="28"/>
          <w:lang w:eastAsia="ru-RU"/>
        </w:rPr>
      </w:pPr>
      <w:r w:rsidRPr="00AF0C16">
        <w:rPr>
          <w:rFonts w:cs="Times New Roman"/>
          <w:szCs w:val="28"/>
          <w:lang w:eastAsia="ru-RU"/>
        </w:rPr>
        <w:t xml:space="preserve">- </w:t>
      </w:r>
      <w:r w:rsidR="006A31B1" w:rsidRPr="00AF0C16">
        <w:rPr>
          <w:rFonts w:cs="Times New Roman"/>
          <w:szCs w:val="28"/>
          <w:lang w:eastAsia="ru-RU"/>
        </w:rPr>
        <w:t xml:space="preserve">коэффициент </w:t>
      </w:r>
      <w:proofErr w:type="gramStart"/>
      <w:r w:rsidR="006A31B1" w:rsidRPr="00AF0C16">
        <w:rPr>
          <w:rFonts w:cs="Times New Roman"/>
          <w:szCs w:val="28"/>
          <w:lang w:eastAsia="ru-RU"/>
        </w:rPr>
        <w:t>эффективности выявления рисков нарушения антимонопольного законодательства</w:t>
      </w:r>
      <w:proofErr w:type="gramEnd"/>
      <w:r w:rsidR="006A31B1" w:rsidRPr="00AF0C16">
        <w:rPr>
          <w:rFonts w:cs="Times New Roman"/>
          <w:szCs w:val="28"/>
          <w:lang w:eastAsia="ru-RU"/>
        </w:rPr>
        <w:t xml:space="preserve"> в проектах нормативных правовых актов Комитета;</w:t>
      </w:r>
    </w:p>
    <w:p w:rsidR="006A31B1" w:rsidRPr="00AF0C16" w:rsidRDefault="00EA7567" w:rsidP="006A31B1">
      <w:pPr>
        <w:widowControl w:val="0"/>
        <w:snapToGrid w:val="0"/>
        <w:ind w:firstLine="709"/>
        <w:rPr>
          <w:rFonts w:cs="Times New Roman"/>
          <w:szCs w:val="28"/>
          <w:lang w:eastAsia="ru-RU"/>
        </w:rPr>
      </w:pPr>
      <w:r w:rsidRPr="00AF0C16">
        <w:rPr>
          <w:rFonts w:cs="Times New Roman"/>
          <w:szCs w:val="28"/>
          <w:lang w:eastAsia="ru-RU"/>
        </w:rPr>
        <w:t xml:space="preserve">-    </w:t>
      </w:r>
      <w:r w:rsidR="006A31B1" w:rsidRPr="00AF0C16">
        <w:rPr>
          <w:rFonts w:cs="Times New Roman"/>
          <w:szCs w:val="28"/>
          <w:lang w:eastAsia="ru-RU"/>
        </w:rPr>
        <w:t xml:space="preserve">коэффициент эффективности выявления нарушений антимонопольного законодательства </w:t>
      </w:r>
      <w:proofErr w:type="gramStart"/>
      <w:r w:rsidR="006A31B1" w:rsidRPr="00AF0C16">
        <w:rPr>
          <w:rFonts w:cs="Times New Roman"/>
          <w:szCs w:val="28"/>
          <w:lang w:eastAsia="ru-RU"/>
        </w:rPr>
        <w:t>в</w:t>
      </w:r>
      <w:proofErr w:type="gramEnd"/>
      <w:r w:rsidR="006A31B1" w:rsidRPr="00AF0C16">
        <w:rPr>
          <w:rFonts w:cs="Times New Roman"/>
          <w:szCs w:val="28"/>
          <w:lang w:eastAsia="ru-RU"/>
        </w:rPr>
        <w:t xml:space="preserve"> нормативных правовых актов Комитета.</w:t>
      </w:r>
    </w:p>
    <w:p w:rsidR="006A31B1" w:rsidRPr="00AF0C16" w:rsidRDefault="006A31B1" w:rsidP="006A31B1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0C16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оценки достижения ключевых показателей эффективности антимонопольного </w:t>
      </w:r>
      <w:proofErr w:type="spellStart"/>
      <w:r w:rsidRPr="00AF0C16">
        <w:rPr>
          <w:rFonts w:ascii="Times New Roman" w:hAnsi="Times New Roman" w:cs="Times New Roman"/>
          <w:sz w:val="28"/>
          <w:szCs w:val="28"/>
          <w:lang w:val="ru-RU"/>
        </w:rPr>
        <w:t>комплаенса</w:t>
      </w:r>
      <w:proofErr w:type="spellEnd"/>
      <w:r w:rsidRPr="00AF0C16">
        <w:rPr>
          <w:rFonts w:ascii="Times New Roman" w:hAnsi="Times New Roman" w:cs="Times New Roman"/>
          <w:sz w:val="28"/>
          <w:szCs w:val="28"/>
          <w:lang w:val="ru-RU"/>
        </w:rPr>
        <w:t xml:space="preserve"> все показатели достигнуты.</w:t>
      </w:r>
    </w:p>
    <w:p w:rsidR="006A31B1" w:rsidRPr="00AF0C16" w:rsidRDefault="0067740F" w:rsidP="006A31B1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0C16">
        <w:rPr>
          <w:rFonts w:ascii="Times New Roman" w:hAnsi="Times New Roman" w:cs="Times New Roman"/>
          <w:sz w:val="28"/>
          <w:szCs w:val="28"/>
          <w:lang w:val="ru-RU"/>
        </w:rPr>
        <w:t>В 2025</w:t>
      </w:r>
      <w:r w:rsidR="006A31B1" w:rsidRPr="00AF0C16">
        <w:rPr>
          <w:rFonts w:ascii="Times New Roman" w:hAnsi="Times New Roman" w:cs="Times New Roman"/>
          <w:sz w:val="28"/>
          <w:szCs w:val="28"/>
          <w:lang w:val="ru-RU"/>
        </w:rPr>
        <w:t xml:space="preserve"> году нарушения в области антимонопольного законодательства, а также случаи привлечения работников Комитета к ответственности за нарушение антимонопольного законодательства, нормативные правовые акты, а также проекты нормативных правовых актов Комитета, в которых выявлены риски нарушения антимонопольного законодательства, отсутствуют.</w:t>
      </w:r>
    </w:p>
    <w:p w:rsidR="006A31B1" w:rsidRPr="000E4C1A" w:rsidRDefault="006A31B1" w:rsidP="006A31B1">
      <w:pPr>
        <w:ind w:firstLine="708"/>
        <w:contextualSpacing/>
        <w:rPr>
          <w:rFonts w:cs="Times New Roman"/>
          <w:szCs w:val="28"/>
        </w:rPr>
      </w:pPr>
      <w:proofErr w:type="gramStart"/>
      <w:r w:rsidRPr="00AF0C16">
        <w:rPr>
          <w:rFonts w:cs="Times New Roman"/>
          <w:szCs w:val="28"/>
        </w:rPr>
        <w:t xml:space="preserve">На основании </w:t>
      </w:r>
      <w:r w:rsidR="00E251CC" w:rsidRPr="00AF0C16">
        <w:rPr>
          <w:rFonts w:cs="Times New Roman"/>
          <w:szCs w:val="28"/>
        </w:rPr>
        <w:t>выше</w:t>
      </w:r>
      <w:r w:rsidRPr="00AF0C16">
        <w:rPr>
          <w:rFonts w:cs="Times New Roman"/>
          <w:szCs w:val="28"/>
        </w:rPr>
        <w:t>изложенного, функционирование антимонопольн</w:t>
      </w:r>
      <w:r w:rsidR="0067740F" w:rsidRPr="00AF0C16">
        <w:rPr>
          <w:rFonts w:cs="Times New Roman"/>
          <w:szCs w:val="28"/>
        </w:rPr>
        <w:t xml:space="preserve">ого </w:t>
      </w:r>
      <w:proofErr w:type="spellStart"/>
      <w:r w:rsidR="0067740F" w:rsidRPr="00AF0C16">
        <w:rPr>
          <w:rFonts w:cs="Times New Roman"/>
          <w:szCs w:val="28"/>
        </w:rPr>
        <w:t>комплаенса</w:t>
      </w:r>
      <w:proofErr w:type="spellEnd"/>
      <w:r w:rsidR="0067740F" w:rsidRPr="00AF0C16">
        <w:rPr>
          <w:rFonts w:cs="Times New Roman"/>
          <w:szCs w:val="28"/>
        </w:rPr>
        <w:t xml:space="preserve"> в Комитете в 2025</w:t>
      </w:r>
      <w:r w:rsidRPr="00AF0C16">
        <w:rPr>
          <w:rFonts w:cs="Times New Roman"/>
          <w:szCs w:val="28"/>
        </w:rPr>
        <w:t xml:space="preserve"> году осуществлено эффективно и ключевые показатели эффективности антимонопольного </w:t>
      </w:r>
      <w:proofErr w:type="spellStart"/>
      <w:r w:rsidRPr="00AF0C16">
        <w:rPr>
          <w:rFonts w:cs="Times New Roman"/>
          <w:szCs w:val="28"/>
        </w:rPr>
        <w:t>комплаенса</w:t>
      </w:r>
      <w:proofErr w:type="spellEnd"/>
      <w:r w:rsidRPr="00AF0C16">
        <w:rPr>
          <w:rFonts w:cs="Times New Roman"/>
          <w:szCs w:val="28"/>
        </w:rPr>
        <w:t xml:space="preserve"> в Комитете достигнуты.</w:t>
      </w:r>
      <w:proofErr w:type="gramEnd"/>
    </w:p>
    <w:p w:rsidR="006A31B1" w:rsidRPr="000E4C1A" w:rsidRDefault="006A31B1" w:rsidP="00925DF2">
      <w:pPr>
        <w:contextualSpacing/>
        <w:rPr>
          <w:rFonts w:cs="Times New Roman"/>
          <w:szCs w:val="28"/>
        </w:rPr>
      </w:pPr>
    </w:p>
    <w:p w:rsidR="006A31B1" w:rsidRPr="000E4C1A" w:rsidRDefault="006A31B1" w:rsidP="00925DF2">
      <w:pPr>
        <w:contextualSpacing/>
        <w:rPr>
          <w:rFonts w:cs="Times New Roman"/>
          <w:szCs w:val="28"/>
        </w:rPr>
      </w:pPr>
    </w:p>
    <w:sectPr w:rsidR="006A31B1" w:rsidRPr="000E4C1A" w:rsidSect="0098175C">
      <w:headerReference w:type="even" r:id="rId8"/>
      <w:headerReference w:type="default" r:id="rId9"/>
      <w:pgSz w:w="11906" w:h="16838"/>
      <w:pgMar w:top="709" w:right="566" w:bottom="709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34" w:rsidRDefault="00A56A34" w:rsidP="003527F2">
      <w:r>
        <w:separator/>
      </w:r>
    </w:p>
  </w:endnote>
  <w:endnote w:type="continuationSeparator" w:id="0">
    <w:p w:rsidR="00A56A34" w:rsidRDefault="00A56A34" w:rsidP="0035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34" w:rsidRDefault="00A56A34" w:rsidP="003527F2">
      <w:r>
        <w:separator/>
      </w:r>
    </w:p>
  </w:footnote>
  <w:footnote w:type="continuationSeparator" w:id="0">
    <w:p w:rsidR="00A56A34" w:rsidRDefault="00A56A34" w:rsidP="0035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F2" w:rsidRPr="0098175C" w:rsidRDefault="0098175C" w:rsidP="0098175C">
    <w:pPr>
      <w:pStyle w:val="a6"/>
      <w:tabs>
        <w:tab w:val="center" w:pos="5103"/>
        <w:tab w:val="left" w:pos="5596"/>
      </w:tabs>
      <w:jc w:val="left"/>
      <w:rPr>
        <w:lang w:val="en-US"/>
      </w:rPr>
    </w:pPr>
    <w:r>
      <w:rPr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6893391"/>
      <w:docPartObj>
        <w:docPartGallery w:val="Page Numbers (Top of Page)"/>
        <w:docPartUnique/>
      </w:docPartObj>
    </w:sdtPr>
    <w:sdtEndPr/>
    <w:sdtContent>
      <w:p w:rsidR="0098175C" w:rsidRDefault="0098175C">
        <w:pPr>
          <w:pStyle w:val="a6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AF0C16">
          <w:rPr>
            <w:noProof/>
          </w:rPr>
          <w:t>5</w:t>
        </w:r>
        <w:r>
          <w:fldChar w:fldCharType="end"/>
        </w:r>
      </w:p>
    </w:sdtContent>
  </w:sdt>
  <w:p w:rsidR="00CB6793" w:rsidRDefault="00CB6793" w:rsidP="00CB679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12"/>
    <w:rsid w:val="00016B17"/>
    <w:rsid w:val="000216EA"/>
    <w:rsid w:val="00023090"/>
    <w:rsid w:val="00024144"/>
    <w:rsid w:val="00036449"/>
    <w:rsid w:val="000503DE"/>
    <w:rsid w:val="00062A2C"/>
    <w:rsid w:val="00092EB9"/>
    <w:rsid w:val="00097D12"/>
    <w:rsid w:val="000A356C"/>
    <w:rsid w:val="000A726E"/>
    <w:rsid w:val="000A79B2"/>
    <w:rsid w:val="000B5CBA"/>
    <w:rsid w:val="000E4C1A"/>
    <w:rsid w:val="00102721"/>
    <w:rsid w:val="00111E9B"/>
    <w:rsid w:val="00114639"/>
    <w:rsid w:val="0011732F"/>
    <w:rsid w:val="0013157C"/>
    <w:rsid w:val="00141C9F"/>
    <w:rsid w:val="00152A5E"/>
    <w:rsid w:val="00155C14"/>
    <w:rsid w:val="00173339"/>
    <w:rsid w:val="00181329"/>
    <w:rsid w:val="0019378F"/>
    <w:rsid w:val="001944C3"/>
    <w:rsid w:val="001D7D7B"/>
    <w:rsid w:val="001F5EEF"/>
    <w:rsid w:val="002066F9"/>
    <w:rsid w:val="0022254C"/>
    <w:rsid w:val="00240B81"/>
    <w:rsid w:val="00241765"/>
    <w:rsid w:val="00246911"/>
    <w:rsid w:val="00257F23"/>
    <w:rsid w:val="002626E6"/>
    <w:rsid w:val="002631D1"/>
    <w:rsid w:val="002676AB"/>
    <w:rsid w:val="00276924"/>
    <w:rsid w:val="00276FFD"/>
    <w:rsid w:val="002A0D1C"/>
    <w:rsid w:val="002C0E37"/>
    <w:rsid w:val="002D5F0F"/>
    <w:rsid w:val="002E1039"/>
    <w:rsid w:val="002F14BD"/>
    <w:rsid w:val="00312DBB"/>
    <w:rsid w:val="003527F2"/>
    <w:rsid w:val="00370FC2"/>
    <w:rsid w:val="00385141"/>
    <w:rsid w:val="00387666"/>
    <w:rsid w:val="003912A3"/>
    <w:rsid w:val="003A533C"/>
    <w:rsid w:val="003C2028"/>
    <w:rsid w:val="003C4CAA"/>
    <w:rsid w:val="003E0903"/>
    <w:rsid w:val="003F2B1C"/>
    <w:rsid w:val="003F3191"/>
    <w:rsid w:val="00401E41"/>
    <w:rsid w:val="004070AA"/>
    <w:rsid w:val="00410BB9"/>
    <w:rsid w:val="00417233"/>
    <w:rsid w:val="00431CFE"/>
    <w:rsid w:val="0043380F"/>
    <w:rsid w:val="00435D81"/>
    <w:rsid w:val="00441822"/>
    <w:rsid w:val="00452AE2"/>
    <w:rsid w:val="00456ED6"/>
    <w:rsid w:val="0046684A"/>
    <w:rsid w:val="00467B12"/>
    <w:rsid w:val="00475ED8"/>
    <w:rsid w:val="004A04B4"/>
    <w:rsid w:val="004A4C30"/>
    <w:rsid w:val="004B212B"/>
    <w:rsid w:val="004B4A8F"/>
    <w:rsid w:val="004D28ED"/>
    <w:rsid w:val="004D440E"/>
    <w:rsid w:val="004F7D88"/>
    <w:rsid w:val="005207D0"/>
    <w:rsid w:val="00535658"/>
    <w:rsid w:val="00541B65"/>
    <w:rsid w:val="005421F0"/>
    <w:rsid w:val="00544C02"/>
    <w:rsid w:val="00561A7E"/>
    <w:rsid w:val="00576BFD"/>
    <w:rsid w:val="005A4245"/>
    <w:rsid w:val="005B5E5B"/>
    <w:rsid w:val="005B61E1"/>
    <w:rsid w:val="005E0FC3"/>
    <w:rsid w:val="005E53CC"/>
    <w:rsid w:val="00621A55"/>
    <w:rsid w:val="00630478"/>
    <w:rsid w:val="00636515"/>
    <w:rsid w:val="00650D6A"/>
    <w:rsid w:val="0067740F"/>
    <w:rsid w:val="006A31B1"/>
    <w:rsid w:val="006B193D"/>
    <w:rsid w:val="006B409B"/>
    <w:rsid w:val="006D3B49"/>
    <w:rsid w:val="006F126E"/>
    <w:rsid w:val="006F1704"/>
    <w:rsid w:val="007067DA"/>
    <w:rsid w:val="007172F7"/>
    <w:rsid w:val="007203EE"/>
    <w:rsid w:val="00744801"/>
    <w:rsid w:val="00745988"/>
    <w:rsid w:val="00751BB5"/>
    <w:rsid w:val="00754BBE"/>
    <w:rsid w:val="007612A5"/>
    <w:rsid w:val="007623F4"/>
    <w:rsid w:val="00780103"/>
    <w:rsid w:val="00783296"/>
    <w:rsid w:val="007A2E34"/>
    <w:rsid w:val="007B73FC"/>
    <w:rsid w:val="007C19A9"/>
    <w:rsid w:val="007D1A83"/>
    <w:rsid w:val="007D3EDA"/>
    <w:rsid w:val="007D5968"/>
    <w:rsid w:val="007D645E"/>
    <w:rsid w:val="00802E0B"/>
    <w:rsid w:val="00812564"/>
    <w:rsid w:val="0081522D"/>
    <w:rsid w:val="008303E1"/>
    <w:rsid w:val="00836DE7"/>
    <w:rsid w:val="0085581E"/>
    <w:rsid w:val="008779E3"/>
    <w:rsid w:val="00897BC1"/>
    <w:rsid w:val="008A34FA"/>
    <w:rsid w:val="008B170C"/>
    <w:rsid w:val="008D1BDB"/>
    <w:rsid w:val="008E6FCE"/>
    <w:rsid w:val="0091046B"/>
    <w:rsid w:val="00920FC8"/>
    <w:rsid w:val="00923D7D"/>
    <w:rsid w:val="00925DF2"/>
    <w:rsid w:val="009316B9"/>
    <w:rsid w:val="009642A0"/>
    <w:rsid w:val="00967FC2"/>
    <w:rsid w:val="0097096A"/>
    <w:rsid w:val="0098175C"/>
    <w:rsid w:val="00985790"/>
    <w:rsid w:val="009925C0"/>
    <w:rsid w:val="009A35A2"/>
    <w:rsid w:val="009D1A2D"/>
    <w:rsid w:val="009D1F48"/>
    <w:rsid w:val="009F5ACB"/>
    <w:rsid w:val="00A43C10"/>
    <w:rsid w:val="00A56A34"/>
    <w:rsid w:val="00A96BD3"/>
    <w:rsid w:val="00AC0993"/>
    <w:rsid w:val="00AD4215"/>
    <w:rsid w:val="00AE31A2"/>
    <w:rsid w:val="00AE3F8C"/>
    <w:rsid w:val="00AF0C16"/>
    <w:rsid w:val="00B03152"/>
    <w:rsid w:val="00B21117"/>
    <w:rsid w:val="00B36E29"/>
    <w:rsid w:val="00B44649"/>
    <w:rsid w:val="00B57B35"/>
    <w:rsid w:val="00B648CE"/>
    <w:rsid w:val="00B7353E"/>
    <w:rsid w:val="00B7627E"/>
    <w:rsid w:val="00B76E6F"/>
    <w:rsid w:val="00BA2E2E"/>
    <w:rsid w:val="00BB1D7E"/>
    <w:rsid w:val="00BB3C61"/>
    <w:rsid w:val="00BC1F2A"/>
    <w:rsid w:val="00BC3418"/>
    <w:rsid w:val="00BF7103"/>
    <w:rsid w:val="00C0768A"/>
    <w:rsid w:val="00C132A9"/>
    <w:rsid w:val="00C2602F"/>
    <w:rsid w:val="00C31F3A"/>
    <w:rsid w:val="00C4346F"/>
    <w:rsid w:val="00C445EC"/>
    <w:rsid w:val="00C507B8"/>
    <w:rsid w:val="00C63E85"/>
    <w:rsid w:val="00C70A5A"/>
    <w:rsid w:val="00C76EA3"/>
    <w:rsid w:val="00CA0EE3"/>
    <w:rsid w:val="00CA421C"/>
    <w:rsid w:val="00CA6E6D"/>
    <w:rsid w:val="00CB1E92"/>
    <w:rsid w:val="00CB417B"/>
    <w:rsid w:val="00CB6793"/>
    <w:rsid w:val="00CB67B8"/>
    <w:rsid w:val="00CC0B5F"/>
    <w:rsid w:val="00CD5E95"/>
    <w:rsid w:val="00CF55D6"/>
    <w:rsid w:val="00CF702C"/>
    <w:rsid w:val="00D227D8"/>
    <w:rsid w:val="00D33AF4"/>
    <w:rsid w:val="00D36AD9"/>
    <w:rsid w:val="00D50B07"/>
    <w:rsid w:val="00D747A9"/>
    <w:rsid w:val="00D83713"/>
    <w:rsid w:val="00D85353"/>
    <w:rsid w:val="00DB7A92"/>
    <w:rsid w:val="00DC25ED"/>
    <w:rsid w:val="00DD3E32"/>
    <w:rsid w:val="00DE0DF0"/>
    <w:rsid w:val="00DE2A52"/>
    <w:rsid w:val="00DF03D6"/>
    <w:rsid w:val="00E1780A"/>
    <w:rsid w:val="00E251CC"/>
    <w:rsid w:val="00E779FF"/>
    <w:rsid w:val="00E87D63"/>
    <w:rsid w:val="00EA1940"/>
    <w:rsid w:val="00EA401F"/>
    <w:rsid w:val="00EA588D"/>
    <w:rsid w:val="00EA7567"/>
    <w:rsid w:val="00EA7F4D"/>
    <w:rsid w:val="00EB47D3"/>
    <w:rsid w:val="00F145CA"/>
    <w:rsid w:val="00F14B74"/>
    <w:rsid w:val="00F651D7"/>
    <w:rsid w:val="00F6795B"/>
    <w:rsid w:val="00F67EAB"/>
    <w:rsid w:val="00F73CBF"/>
    <w:rsid w:val="00FB0B32"/>
    <w:rsid w:val="00FB3D7C"/>
    <w:rsid w:val="00FB4DF5"/>
    <w:rsid w:val="00FD7B0A"/>
    <w:rsid w:val="00FE1961"/>
    <w:rsid w:val="00FE4667"/>
    <w:rsid w:val="00FE599D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0903"/>
    <w:rPr>
      <w:b/>
      <w:bCs/>
    </w:rPr>
  </w:style>
  <w:style w:type="paragraph" w:customStyle="1" w:styleId="11">
    <w:name w:val="Знак Знак1 Знак1"/>
    <w:basedOn w:val="a"/>
    <w:rsid w:val="00257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Standard">
    <w:name w:val="Standard"/>
    <w:rsid w:val="006A31B1"/>
    <w:pPr>
      <w:suppressAutoHyphens/>
      <w:autoSpaceDN w:val="0"/>
      <w:spacing w:after="200" w:line="276" w:lineRule="auto"/>
      <w:jc w:val="left"/>
      <w:textAlignment w:val="baseline"/>
    </w:pPr>
    <w:rPr>
      <w:rFonts w:ascii="Cambria" w:eastAsia="Times New Roman" w:hAnsi="Cambria" w:cs="Cambria"/>
      <w:kern w:val="3"/>
      <w:sz w:val="22"/>
      <w:lang w:val="en-US"/>
    </w:rPr>
  </w:style>
  <w:style w:type="paragraph" w:customStyle="1" w:styleId="ConsPlusNormal">
    <w:name w:val="ConsPlusNormal"/>
    <w:rsid w:val="006A31B1"/>
    <w:pPr>
      <w:widowControl w:val="0"/>
      <w:suppressAutoHyphens/>
      <w:autoSpaceDN w:val="0"/>
      <w:jc w:val="left"/>
      <w:textAlignment w:val="baseline"/>
    </w:pPr>
    <w:rPr>
      <w:rFonts w:ascii="Arial" w:eastAsia="Times New Roman" w:hAnsi="Arial" w:cs="Arial"/>
      <w:kern w:val="3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527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7F2"/>
  </w:style>
  <w:style w:type="paragraph" w:styleId="a8">
    <w:name w:val="footer"/>
    <w:basedOn w:val="a"/>
    <w:link w:val="a9"/>
    <w:uiPriority w:val="99"/>
    <w:unhideWhenUsed/>
    <w:rsid w:val="003527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9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90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0903"/>
    <w:rPr>
      <w:b/>
      <w:bCs/>
    </w:rPr>
  </w:style>
  <w:style w:type="paragraph" w:customStyle="1" w:styleId="11">
    <w:name w:val="Знак Знак1 Знак1"/>
    <w:basedOn w:val="a"/>
    <w:rsid w:val="00257F23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Standard">
    <w:name w:val="Standard"/>
    <w:rsid w:val="006A31B1"/>
    <w:pPr>
      <w:suppressAutoHyphens/>
      <w:autoSpaceDN w:val="0"/>
      <w:spacing w:after="200" w:line="276" w:lineRule="auto"/>
      <w:jc w:val="left"/>
      <w:textAlignment w:val="baseline"/>
    </w:pPr>
    <w:rPr>
      <w:rFonts w:ascii="Cambria" w:eastAsia="Times New Roman" w:hAnsi="Cambria" w:cs="Cambria"/>
      <w:kern w:val="3"/>
      <w:sz w:val="22"/>
      <w:lang w:val="en-US"/>
    </w:rPr>
  </w:style>
  <w:style w:type="paragraph" w:customStyle="1" w:styleId="ConsPlusNormal">
    <w:name w:val="ConsPlusNormal"/>
    <w:rsid w:val="006A31B1"/>
    <w:pPr>
      <w:widowControl w:val="0"/>
      <w:suppressAutoHyphens/>
      <w:autoSpaceDN w:val="0"/>
      <w:jc w:val="left"/>
      <w:textAlignment w:val="baseline"/>
    </w:pPr>
    <w:rPr>
      <w:rFonts w:ascii="Arial" w:eastAsia="Times New Roman" w:hAnsi="Arial" w:cs="Arial"/>
      <w:kern w:val="3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527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7F2"/>
  </w:style>
  <w:style w:type="paragraph" w:styleId="a8">
    <w:name w:val="footer"/>
    <w:basedOn w:val="a"/>
    <w:link w:val="a9"/>
    <w:uiPriority w:val="99"/>
    <w:unhideWhenUsed/>
    <w:rsid w:val="003527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CF5E-FF6D-4DD7-B66D-7E86455D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Таранова</dc:creator>
  <cp:lastModifiedBy>Яна Борисовна Винарова</cp:lastModifiedBy>
  <cp:revision>7</cp:revision>
  <cp:lastPrinted>2026-07-16T12:53:00Z</cp:lastPrinted>
  <dcterms:created xsi:type="dcterms:W3CDTF">2026-07-15T15:49:00Z</dcterms:created>
  <dcterms:modified xsi:type="dcterms:W3CDTF">2026-07-16T13:40:00Z</dcterms:modified>
</cp:coreProperties>
</file>