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Отчет главы администрации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br/>
        <w:t xml:space="preserve">о результатах социально-экономического развития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городского поселения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муниципального района Ленинградской области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в 2025 году и задачах на 2026 год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Итоги исполнения бюджета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городского поселения</w:t>
      </w:r>
      <w:r/>
    </w:p>
    <w:p>
      <w:pPr>
        <w:ind w:firstLine="709"/>
        <w:jc w:val="both"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 города исполнен по доходам в объеме 471 млн. рублей и по расходам в объеме 430 млн. рублей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профицитом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41 млн. рублей.</w:t>
      </w:r>
      <w:r/>
    </w:p>
    <w:p>
      <w:pPr>
        <w:ind w:firstLine="709"/>
        <w:jc w:val="both"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Доходы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поступили на 81 млн. рублей меньше, чем в 2024 году, в связи с уменьшением объема безвозмездных поступлений.</w:t>
      </w:r>
      <w:r/>
    </w:p>
    <w:p>
      <w:pPr>
        <w:ind w:firstLine="709"/>
        <w:jc w:val="both"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Налоговые и неналоговые доходы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поступили в объеме 235 млн. рублей. В сравнении с 2024 годом доходы увеличились на 35 млн. рублей, что обусловлено ростом поступлений по налогу на доходы физических лиц и ростом доходов от аренды земли и имущества.</w:t>
      </w:r>
      <w:r/>
    </w:p>
    <w:p>
      <w:pPr>
        <w:ind w:firstLine="709"/>
        <w:jc w:val="both"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Налог на доходы физических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поступил в сумме 110 млн. рублей, что на 16 млн. рублей больше поступлений 2024 года, исполнение от годового плана составило 101 %.</w:t>
      </w:r>
      <w:r/>
    </w:p>
    <w:p>
      <w:pPr>
        <w:ind w:firstLine="709"/>
        <w:jc w:val="both"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Доходы от аренды земли и имущества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составили 68 млн. рублей, что на 15 млн. рублей больше поступлений 2024 года, исполнение от годового плана составило 100 %.</w:t>
      </w:r>
      <w:r/>
    </w:p>
    <w:p>
      <w:pPr>
        <w:ind w:firstLine="709"/>
        <w:jc w:val="both"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Безвозмездные поступления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 других бюджетов составили 236 млн. рублей и по сравнению с 2024 годом уменьшились на 116 млн. рублей, из них 113 млн. рублей за счет снижения объема субсидий.</w:t>
      </w:r>
      <w:r/>
    </w:p>
    <w:p>
      <w:pPr>
        <w:ind w:firstLine="709"/>
        <w:jc w:val="both"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Расходы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составили 430 млн. рублей, что на 79 млн. рублей меньше расходов 2024 года.</w:t>
      </w:r>
      <w:r/>
    </w:p>
    <w:p>
      <w:pPr>
        <w:ind w:firstLine="709"/>
        <w:jc w:val="both"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Исходя из полномочий города, основную долю (92 %) в расходной части бюджета составляют расходы по разделам: «Национальная экономика», включая «Дорожное хозяйство», «Жилищно-коммунальное хозяйство» и «Культура».</w:t>
      </w:r>
      <w:r/>
    </w:p>
    <w:p>
      <w:pPr>
        <w:ind w:firstLine="709"/>
        <w:jc w:val="both"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Расходы по разделу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«Жилищно-коммунальное хозяйство»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составили 133 млн. рублей, из них 85 млн. рублей – расходы на мероприятия по благоустройству территории городского поселения, в том числе направлено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 млн. рублей на реализацию мероприятий в рамках формирования комфортной городской среды, 15 млн. рублей на благоустройство дворовых территорий, 27 млн. рублей на обеспечение уличного освещения, 18 млн. рублей на озеленение территории, содержание свободных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территорий, содержание памятных мест и мест массового отдыха жителей города. Расходы по содержанию и ремонту объектов коммунального хозяйства составили 24 млн. рублей, из них 23 млн. рублей субсидии на предоставление населению услуг бань, душевых и саун.</w:t>
      </w:r>
      <w:r/>
    </w:p>
    <w:p>
      <w:pPr>
        <w:ind w:firstLine="709"/>
        <w:jc w:val="both"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Расходы по разделу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«Национальная экономика»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составили 133 млн. рублей, из них расходы по дорожному хозяйству 113 млн. рублей, из них 87 млн. рублей расходы на содержание дорог и дорожных сооружений, 23 млн. рублей на ремонт дорог общего пользования местного значения.</w:t>
      </w:r>
      <w:r/>
    </w:p>
    <w:p>
      <w:pPr>
        <w:ind w:firstLine="709"/>
        <w:jc w:val="both"/>
        <w:keepLines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содержание учреждений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культуры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проведение мероприятий в сф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 культуры направлено 128 млн. рублей, из них 79 млн. рублей составили расходы на оплату труда с начислениями работников учреждений культуры, 30 млн. рублей составили расходы на обеспечение библиотечного обслуживания и популяризации чтения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городского поселения.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Экономика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Экономический потенциал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городского поселения составляют предприятия обрабатывающей промышленности, малого и среднего предпринимательства.</w:t>
      </w:r>
      <w:r/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Из общей численности населения района, экономически активное население составляет 18 тысяч 050 человек. </w:t>
      </w:r>
      <w:r/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Крупные и средние предприятия продолжают устойчиво работать.</w:t>
      </w:r>
      <w:r/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итогам 2025 года удалось увеличить темпы производства продукции, не допустить сокращения рабочих мест, а также увеличить заработную плату работникам.</w:t>
      </w:r>
      <w:r/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На территории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городского поселения  зарегистрировано 326 организаций (из них 58% или 190 малых и средних предприятий), 894 индивидуальных предпринимателя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ПРОМЫШЛЕННОСТЬ - основная преобладающая отрасль экономики, представлена ОАО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цементный завод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Цесла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Петербургского филиала АО «ЦЕМРОС», ООО «СЛАНЦЫ», ООО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ЕвроАэроБетон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АО «Нева-Энергия», ООО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Экорусметалл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ООО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Хорс-Резинотехника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ООО «Инновационные технологии».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Кроме того, малые промышленные предприятия представляют различные виды производства: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ЗАО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Неозон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», ООО «БТР-С», ООО «Перспектива», ООО «Закройщик», ООО «Пим-Конструкция», ООО ПКФ «Дизайн»,  ООО «Петербургская керамика»,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Оборот крупных и средних предприятий за 9 месяцев 2025 года составил 21 миллиард рублей, что на 3,5 % в действующих ценах больше, чем за аналогичный период 2024года.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Отгрузка товаров собственного производства, выполнение работ и услуг крупными и средними предприятиями за 9 месяцев 2025 года увеличилась на 0,9 % к аналогичному периоду прошлого года и составила 16,3 миллиардов рублей.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Доля промышленности составила 15 миллиардов рублей или 92 % от общего объема отгруженных товаров собственного производства, выполненных работ и услуг.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Всего среднесписочная численность работающих на крупных и средних предприятиях увеличилась на 7,7 % и составила 5 055 человек.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Среднемесячная заработная плата в целом по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Сланцевскому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городскому поселению увеличилась на 22% и составила 82 022 рубля.</w:t>
      </w:r>
      <w:r/>
    </w:p>
    <w:p>
      <w:pPr>
        <w:pStyle w:val="866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По состоянию на 01.01.2025 года на учете в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Сланцевском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филиале состояли 73 гражданина, обратившихся за содействием в поиске работы, из них 63 безработных гражданина. За 2025 год в службу занятости обратились 601 человек за содействием в поиске подходящей работы. </w:t>
      </w:r>
      <w:r/>
    </w:p>
    <w:p>
      <w:pPr>
        <w:pStyle w:val="866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На начало текущего года работодатели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района заявили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489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вакансиях.</w:t>
      </w:r>
      <w:r/>
    </w:p>
    <w:p>
      <w:pPr>
        <w:pStyle w:val="866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За период с 01.01.2025 по 31.12.2025 года были трудоустроены 323 гражданина.</w:t>
      </w:r>
      <w:r/>
    </w:p>
    <w:p>
      <w:pPr>
        <w:pStyle w:val="866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Сланцевскому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 городскому поселению на 01.01.2025 год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а состояло на учете 59 человек, обратившихся за содействием в поиске работы, в том числе 52 безработных гражданина, из них 46 получали пособие по безработице. Уровень безработицы на 01.01.2026 года составляет 0,44%, что на 0,15% больше, чем на начало года.</w:t>
      </w:r>
      <w:r/>
    </w:p>
    <w:p>
      <w:pPr>
        <w:pStyle w:val="866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В сравнении с анало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гичным периодом прошлого года наблюдается тенденция значительного сокращения обращающихся граждан из числа граждан, имеющих инвалидность (в 1,1 раза); высвобожденных граждан (в 4,3 раза); граждан, имеющих статус «одиноких родителей» (в 2,2 раза); граждан,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имеющих статус «многодетного родителя» (в 1,1 раза).  Увеличилась численность граждан, впервые ищущих работу (в 3,4 раза). Практически не изменилась численность граждан, стремящихся возобновить трудовую деятельность после длительного (более года) перерыва.</w:t>
      </w:r>
      <w:r/>
    </w:p>
    <w:p>
      <w:pPr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clear" w:pos="0" w:leader="none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Предприятиями и организациями всех видов экономической деятельности за 9 месяцев 2025 инвестировано в экономику порядка 712 млн. руб., по сравнению с аналогичным периодом прошлого года увеличение составило 31% 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РАЗВИТИЕ ПРЕДПРИНИМАТЕЛЬСТВА является одной из приоритетных задач социально-экономического развития.</w:t>
      </w:r>
      <w:r/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субъектов малого предпринимательства в отчетном периоде увеличилось на 1,1% и составило 1084. В течение года зарегистрировано новых 220 субъектов малого предпринимательства, и из них 18 юридических лиц.</w:t>
      </w:r>
      <w:r/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1,8 % увеличилось количество индивидуальных предпринимателей, по состоянию на 10.01.2026 их численность составила 894 человека.</w:t>
      </w:r>
      <w:r/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Также необходимо отметить рост численности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занятых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сфере малого и среднего предпринимательства. По оценочным данным численность занятых увеличилась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11,3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% к аналогичному периоду 2024 года и составила 7193 человека (на 10.01.2025 - 6461 человек).</w:t>
      </w:r>
      <w:r/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Количество налогоплательщиков налога на профессиональный доход, так называемых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самозанятых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сравнению аналогичным периодом прошлого года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увеличилось на 20,6 % и по состоянию на 31.12.2025 составила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4535 человек (на 10.01.2025 - 3759 человек).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муниципального района продолжала оказывать поддержку субъектам предпринимательской деятельности, как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вновь созданным, так и уже действующим. В 2025 году субсидии получили 17 субъектов малого и среднего предпринимательства на общу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ю сумму 9,6 млн. руб. Финансовая поддержка компенсировала затраты субъектов предпринимательской деятельности на открытие столярной мастерской,   студии английского языка, пункта выдачи автозапчастей, а так же развитие туристических направлений для жителей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района и другое.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Градостроительная деятельность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полномочий, определённых Областным законом Ленингра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дской области от 07.07.2014 N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 сектором по архитектуре КУМИ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района: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выдано 4 разрешения на строительство: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объект «Здание магазина», расположенного по адресу: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Ленинградская область, г. Сланцы, ул. Маяковского, д. 18;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объект «Здание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филиала Государственного казённого учреждения «Центр занятости населения Ленинградской области», расположенного по адресу: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Ленинградская область, г. Сланцы, ул. Кирова;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объект «Магазин», расположенного по адресу: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Ленинградская область, г. Сланцы, ул. Ломоносова;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объект «Здание духовного просветительского центра», расположенного по адресу: Ленинградская область,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Сланцевский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Сланцевское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городское поселение.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Подготовлено 31 уведомление о соответствии планируемых к строительству индивидуальных жилых домов. За счет индивидуального жилищ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ного строительства, осуществляемого гражданами, введено в действие 3,9 тыс. кв.м. жилья. Подготовлены 2 Акта освидетельствования проведения основных работ по строительству объекта индивидуального жилищного строительства для получения материнского капитала.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Подготовлено 40 градостроительных планов с целью дальнейшей разработки проектной документации для строительства.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Продолжены работы по внесению изменений в генеральный план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городского поселения с целью его приведения в соответствие действующему законодательству. Проведены публичные слушания по проекту. Материалы направлены в Правительство Ленинградской области для проверки и утверждения.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Проведено 6 заседаний комиссии по вопросам внесения изменений в правила землепользования и застройки (рассмотрено 8 обращений).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Проведены процедуры по изменению вида разрешённого использования более 60 земельных участков.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8"/>
          <w:szCs w:val="28"/>
        </w:rPr>
        <w:t xml:space="preserve">На постоянной основе ведётся работа по заполнению сведений в государственной информационной системе осуществления градостроительной деятельности Ленинградской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67"/>
          <w:rFonts w:ascii="Times New Roman" w:hAnsi="Times New Roman" w:eastAsia="Times New Roman" w:cs="Times New Roman"/>
          <w:i w:val="0"/>
          <w:iCs w:val="0"/>
          <w:color w:val="000000"/>
          <w:spacing w:val="-1"/>
          <w:sz w:val="28"/>
          <w:szCs w:val="28"/>
        </w:rPr>
        <w:t xml:space="preserve">Во исполнение поручения Губернатора Ленинградской области организована работа по массовому р</w:t>
      </w:r>
      <w:r>
        <w:rPr>
          <w:rStyle w:val="867"/>
          <w:rFonts w:ascii="Times New Roman" w:hAnsi="Times New Roman" w:eastAsia="Times New Roman" w:cs="Times New Roman"/>
          <w:i w:val="0"/>
          <w:iCs w:val="0"/>
          <w:color w:val="000000"/>
          <w:spacing w:val="-1"/>
          <w:sz w:val="28"/>
          <w:szCs w:val="28"/>
        </w:rPr>
        <w:t xml:space="preserve">аспознаванию адресов объектов капитального строительства, не стоящих на кадастровом учёте, с применением технологий искусственного интеллекта. В процессе выполнения данной задачи отработано 43% распознанных искусственным интеллектом объектов на территории </w:t>
      </w:r>
      <w:r>
        <w:rPr>
          <w:rStyle w:val="867"/>
          <w:rFonts w:ascii="Times New Roman" w:hAnsi="Times New Roman" w:eastAsia="Times New Roman" w:cs="Times New Roman"/>
          <w:i w:val="0"/>
          <w:iCs w:val="0"/>
          <w:color w:val="000000"/>
          <w:spacing w:val="-1"/>
          <w:sz w:val="28"/>
          <w:szCs w:val="28"/>
        </w:rPr>
        <w:t xml:space="preserve">Сланцевского</w:t>
      </w:r>
      <w:r>
        <w:rPr>
          <w:rStyle w:val="867"/>
          <w:rFonts w:ascii="Times New Roman" w:hAnsi="Times New Roman" w:eastAsia="Times New Roman" w:cs="Times New Roman"/>
          <w:i w:val="0"/>
          <w:iCs w:val="0"/>
          <w:color w:val="000000"/>
          <w:spacing w:val="-1"/>
          <w:sz w:val="28"/>
          <w:szCs w:val="28"/>
        </w:rPr>
        <w:t xml:space="preserve"> района, среди них — 62% на территории </w:t>
      </w:r>
      <w:r>
        <w:rPr>
          <w:rStyle w:val="867"/>
          <w:rFonts w:ascii="Times New Roman" w:hAnsi="Times New Roman" w:eastAsia="Times New Roman" w:cs="Times New Roman"/>
          <w:i w:val="0"/>
          <w:iCs w:val="0"/>
          <w:color w:val="000000"/>
          <w:spacing w:val="-1"/>
          <w:sz w:val="28"/>
          <w:szCs w:val="28"/>
        </w:rPr>
        <w:t xml:space="preserve">Сланцевского</w:t>
      </w:r>
      <w:r>
        <w:rPr>
          <w:rStyle w:val="867"/>
          <w:rFonts w:ascii="Times New Roman" w:hAnsi="Times New Roman" w:eastAsia="Times New Roman" w:cs="Times New Roman"/>
          <w:i w:val="0"/>
          <w:iCs w:val="0"/>
          <w:color w:val="000000"/>
          <w:spacing w:val="-1"/>
          <w:sz w:val="28"/>
          <w:szCs w:val="28"/>
        </w:rPr>
        <w:t xml:space="preserve"> городского поселения.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Присвоены, изменены адреса более 500 объектов адресации и внесены в Государственный адресный реестр в Федеральной информационной адресной системе, аннулированы  86 адресов объектов.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догазификации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осуществляется подготовка и выдача схем расположения земельных участков.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рамках жилищного законодательства подготовлено 11 согласований перепланировки и (или) переустройства помещения в многоквартирных домах. Принято в эксплуатацию после перепланировки и (или) переустройства 4 помещения.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рамках благоустройства подготовлено 54 уведомления о согласовании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дизайн-проекта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размещения вывесок. Ведется работа по устранению незаконно размещенных вывесок.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Подготовлено 24 протокола об административном правонарушении, совершенном физическим лицом.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рамках земельного законодательства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 целью уточнения местоположения объектов недвижимости и земельных участков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совместно со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Сланцевским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филиалом Управления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Росрееста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 Ленинградской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завершены комплексные кадастровые работы на территории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26 кадастровых кварталов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Сланцевского городского поселения.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Работа будет продолжена в 2026-2027 годах.</w:t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Проведены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общественные обсуждения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объек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ту государственной экологической экспертизы, включая предварительные материалы оценки воздействия на окружающую среду,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переработанных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соо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тветствии с отрицательным заключением государственной экологической экспертизы: «Проект технической документации на технологию утилизации отходов отработанных свинцово-кислотных аккумуляторных батарей с получением марочного свинца и сплавов на его основе».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Полномочия в области земельных отношений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рамках действия областного закона Ленинградско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области от 17.07.2018 N 75-оз за 2025 год реализовали право 66 многодетных семей. На отчётную дату в перечне земельных участков, запланированных для предоставления в соответствии с областным законом, находится 61 земельный участок общей площадью 5,79 га.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основаниям областного закона от 14 октября 2008 года № 105-оз «О бесплатном предоставлении отдельным категориям граждан земельных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участков для индивидуального жилищного строительства на территории Ленинградской области» за 2025 год реализовали право (получили земельные участки в собственность) 69 заявителей. Участникам специальной военной операции выдано 79 земельных сертификатов.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2025 заключено 117 договоров аренды земельных участков общей площадью 325,93 га с физическими и юридическими лицами.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Доходы, получаемые в виде арендной платы, за фактическое пользование  земельными участками за 2025 год составили 45 334,79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и сельских поселений, за 2025 год составили 820,09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результате перераспределения земель за 2025 год так же поступила  плата за увеличение площади 19 земельных участков –  990,87,00 руб.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муниципального района подготовлено и направлено: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-по физическим лицам 103 претензий на сумму 1924,0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-по юридическим лицам 39 претензий на сумму 32 060,0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результате взысканий задолженности по арендной плате и пени  через Сбербанк России и Федеральную службу судебных приставов по Ленинградской области в пользу бюджета муниципального образования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Сланцевский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муниципальный район Ленинградской области  поступило за 2025 г по физическим лицам и юридическим лицам – 16 058, тыс. руб.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Муниципальное имущество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муниципальной собственности находится муниципальное имущество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образования, предназначенное для исполнения полномочий, установленных Федеральным законом от 20.03.2025 № 33-ФЗ «Об общих принципах организации местного самоуправления в единой системе публичной власти». Основную часть имущества составляют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объекты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находящиеся в оперативном управлении учреждений образования. В целях стимулирования развития субъектов малого и среднего предпринимательства, а также организаций, образующих инфраструктуру поддержки субъектов малого и среднего предпринимательства  ока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зывается имущественная поддержка субъектам малого и среднего предпринимательства. Предоставление муниципальной преференции  субъектам малого и среднего предпринимательства и организациям, образующим инфраструктуру поддержки субъектов малого и среднего пред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принимательства, осуществляется в виде передачи во владение и (или) пользование муниципального имущества, в том числе земельных участков, зданий, строений, сооружений, нежилых помещений, на возмездной основе, безвозмездной основе или на льготных условиях.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этой целью, сформирован Перечень муниципального имущества, находящегося в собственности муниципального образования и свободного от прав третьих лиц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исключением имущественных прав субъектов малого и среднего предпр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инимательства), предназначенный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Проводятся мероприятия по ежегодному дополнению Перечней муниципального имущества новыми объектами. На сегодняшний день все объекты недвижимости предоставлены в аренду.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Жилищная сфера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 исполнение основных мероприятий по подготовке и проведению празднования 80-летия полного освобождения Лен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инграда от фашистской блокады межведомственной комиссии проведен мониторинг условий жизни  инвалидов и ветеранов Великой Отечественной войны, в том числе  для организации проведения ремонта жилых помещений, в которых указанные лица проживают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городского поселения. Два ветерана Великой Отечественной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войны, проживающие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городском поселении в 2025 году   получили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социальную выплату на проведение текущего ремонта квартир. На 2026  год подана заявка на выделение единовременных выплат на  текущий ремонт квартир еще для двух ветеранов (жителей блокадного Ленинграда), проживающих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Сланцы, в рамках областного закона от 13 октября 2014 года № 62-оз.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01 января 2026 года в рамках дополнительной поддержки участников СВО  вступили в силу Областные законы Ленинградской области от 22.12.2025 № 166-оз «О дополнительной мере социальной поддержки участников специальной военной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перации, ставших инвалидами вследствие участия в специальной военной операции, и членов семей погибших (умерших) участников специальной военной операции в виде единовременной денежной выплаты на приобретение или строительство жилого помещения на территории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Ленинград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ской области» и от 22.12.2025 № 167-оз «О внесении изменений в областной закон   "О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жилищных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ношений» и областной закон «О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ремонта квартиры».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Сланцевском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муниципальном районе продолжается реализация  областного закона  о дополнительных гаранти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ях по социальной поддержке детей-сирот и детей, оставшихся без попечения родителей, в течение  2025 года были  заключены 17 договоров найма жилого помещения специализированного жилого фонда  на благоустроенные жилые помещения, приобретенные на территории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городского поселения.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2025 году в рамках  реализации мероприятия   по обеспечению жильем молодых семей федерального проекта «Содействие субъектам 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ссийской Федерации  в реализации полномочий по оказанию государственной поддержки гражданам   в обеспечении жильем и оплате жилищно-коммунальных услуг»  2 многодетные молодые  семьи, получатели социальных выплат приобрели благоустроенные жилые помещения.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Продолжается работа по переселению граждан  из аварийного жилого фонда.  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Сланцевском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городском поселении в 2025 году  был признан аварийным и подлежащим сносу один многоквартирный жилой дом,  расселение граждан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началось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в 2025 году и продолжится в 2026 году.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ru-RU"/>
        </w:rPr>
        <w:t xml:space="preserve">  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2025 году проведены  ремонты  4 жилых помещений,  принятых в муниципальную собственность. </w:t>
      </w:r>
      <w:r/>
    </w:p>
    <w:p>
      <w:pPr>
        <w:pStyle w:val="86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86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Муниципальный жилищный контроль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Деятельность муниципального жилищного контроля в 2025 году была направлена на организацию и проведение проф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илактической работы с населением по предотвращению нарушений действующего законодательства путем привлечения средств массовой информации к освещению актуальных вопросов муниципального жилищного контроля, разъяснения положений действующего законодательства.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учетом требований 248-ФЗ разработана и утверждена программа профилактики рисков причинения вреда охраняемым законом ценностям в сфере муниципального жилищного контроля на 2025 год.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рамках программы профилактики проводились консультирование руководителей подконтрольных субъектов, велась разъяснительная работа с гражданами по вопросам соблюдения обязательных требований жилищного законодательства.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Рассмотрены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277 устных и 100 письменных обращений.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вопросам соблюдения управляющими организациями обязательных требований жилищного законодательства по содержанию жилищного фонда и общего имущества многоквартирных домов рассмотрены все обращения граждан в установленные законом сроки.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Осуществлялась работа межведомственной комиссией по признанию жилого помещения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 на основании обращений граждан по вопросам проведения оценки жилых помещений на территории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городского поселения для выявления оснований признания помещений пригодным (непригодным) для проживания.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2026 году работа будет продолжена.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highlight w:val="none"/>
          <w:lang w:eastAsia="zh-CN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highlight w:val="none"/>
          <w:lang w:eastAsia="zh-CN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zh-CN"/>
        </w:rPr>
        <w:t xml:space="preserve">Теплоснабжение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Филиалом АО «Нева Энергия» в г. Сланцы в 2025 году на территории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городского поселения выполнены следующие ремонтные работы: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выполнена замена тепловых сетей всего протяженностью 6263,6 п.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т.ч.: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Сланцы- 2017,4 п.м.;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мкр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Лучки- 4246,2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плану ремонтных работ выполнены  следующие работы: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поверка узлов учета ТЭ и оборудования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КИПиА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ревизия и ремонт тягодутьевого и насосного оборудования;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ремонт трубопроводов подачи воды на ХВП;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ревизия и техническое обслуживание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паяных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водоподогревателей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теплосети;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монтаж двух пластинчатых теплообменников;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устройство защиты трансформаторной подстанции ТП-12;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техническое обслуживание действующего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эл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борудования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и трансформаторных подстанций;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ревизия и ремонт оборудования центральных тепловых пунктов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повысительной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насосной станции.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Процент собираемости за предоставленные потребителям услуги  теплоснабжения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Сланцы составил 91,7 %.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ТЭЦ ООО «СЛАНЦЫ» в 2025 году были выполнены следующие ремонтные работы: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Выполнен текущий ремонт КА-4, 6, 7, 9;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Завершен капитальный ремонт КА-3;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Выполнен текущий ремонт бойлерных установок «А», «Б» «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Начат капитальный ремонт турбоагрегата № 5;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Выполнен текущий ремонт турбоагрегатов №№ 1, 2, 4;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Выполнен капитальный ремонт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катионитового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фильтра № 6 ХВО;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Произведена частичная замена запорной арматуры  прокладок на запорной арматуре главного коллектора;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Произведена частичная замена шлейфов и изоляторов ОРУ-110 кВ ВЛ-110 кВ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Сланцевская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-1»  «Сланцевская-2»;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Планы на 2026 год.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Филиал АО «Нева Энергия» в г. Сланцы планирует выполнить следующие ремонтные работы: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Замена тепловых сетей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Сланцы - 1500 п.м.;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Замена тепловых сетей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мкр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Лучки - 2500 п.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Подготовка котельной и центральных тепловых пунктов: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  поверка оборудования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КИПиА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ревизия тягодутьевого и насосного оборудования;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замена трубопроводов и арматуры обвязки фильтров ХВП;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техническое обслуживание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водоподогревателей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теплосети;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техническое обслуживание действующего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эл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борудования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и трансформаторных подстанций;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ревизия и ремонт оборудования центральных тепловых пунктов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повысительной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насосной станции.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ООО «СЛАНЦЫ» планирует выполнить следующие ремонтные работы: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Капитальный ремонт КА-9;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Текущие ремонты КА-1, 4, 6, 7;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Завершение капитального ремонта турбоагрегата № 5;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Текущие ремонты турбоагрегатов №№ 1, 2, 4;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Капитальный ремонт питательного насоса № 4;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Ремонт футеровки, бетонного ствола, газоходов дымовой трубы № 2;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Частичная замена запорной арматуры главного парового коллектора и циркуляционных трубопроводов.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Водоснабжение.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ГУП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Леноблводоканал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 в 2025 году  выполнил следующие мероприятия по ремонту объектов водоснабжения и водоотведения на территории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Сланцевского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городского поселения: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Выполнена техническая подготовка тепловых пунктов на объектах;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Очистка водопроводных и канализационных колодцев – 229 шт.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Ремонт водопроводных и канализационных колодцев – 45 шт.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ППР насосного оборудования водоснабжения и канализации – 74 шт.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Замена запорной арматуры – 18 шт.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Ревизия запорной арматуры –  273 шт.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Планово-предупредительный ремонт электродвигателя и пускорегулирующей аппаратуры насосного оборудования – 92 шт.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–  чистка приемной камеры КНС №5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чистка приемной камеры КНС №4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чистка и продувка котлов в котельной ВОС – 3шт;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чистка контактной камеры на ВОС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чистка отстойников и камер хлопьеобразования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чистка сборного канала фильтров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ремонт и промывка системы отопления ВОС;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выполнена чистка резервуара чистой воды (далее – РЧВ) на ВОС 6000м3;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ревизия электросилового оборудования в количестве 15 штук;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ревизия запорной арматуры технологического оборудования диаметром 150 мм-400 мм в количестве 186 штук.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выполнена чистка РЧВ ВНС №2 2х500м3;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ППР насосного оборудования водоснабжения – 29шт;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ППР насосного оборудования канализации – 27шт;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ремонт водопроводных и канализационных колодцев – 25шт;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чистка канализационных колодцев – 70шт;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чистка водопроводных колодцев – 25шт;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замена водоразборной колонки д. Большие Поля д.95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устранено прорывов – 214, засоров – 1022 шт.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Произведена замена запорной арматуры на сетях и объектах ВКХ:</w:t>
      </w:r>
      <w:r/>
    </w:p>
    <w:p>
      <w:pPr>
        <w:pStyle w:val="866"/>
        <w:numPr>
          <w:ilvl w:val="0"/>
          <w:numId w:val="25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ВОС, фильтр №3 трубопровод очищенной воды -  замена затвора 400 мм;</w:t>
      </w:r>
      <w:r/>
    </w:p>
    <w:p>
      <w:pPr>
        <w:pStyle w:val="866"/>
        <w:numPr>
          <w:ilvl w:val="0"/>
          <w:numId w:val="25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ул. Гагарина д.7 – водопроводный колодец, замена задвижка диаметром 150 мм;</w:t>
      </w:r>
      <w:r/>
    </w:p>
    <w:p>
      <w:pPr>
        <w:pStyle w:val="866"/>
        <w:numPr>
          <w:ilvl w:val="0"/>
          <w:numId w:val="25"/>
        </w:numPr>
        <w:contextualSpacing w:val="0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ул. Ленина д.19в – водопроводный колодец зам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ена запорной арматуры диаметром 100 мм – 1 шт.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Грибоедова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д.4а – водопроводный колодец замена запорной арматуры диаметром 150 мм- 1 шт.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ИТП Гараж – замена запорной арматуры диаметром 40-4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диаметром 50 мм – 4 шт.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ИТП ВНС №2 – замена запорной арматуры диаметром 50 мм - 4 шт.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ИТП ПНС ул. Ленина д.25 – замена запорной арматуры диаметром 50 мм – 2 шт.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КНС №3, замена задвижка диаметром 600 мм – 2 шт.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ул. Гагарина в район дома 13 – водовод, замена задвижки диаметром 500 мм – 1 шт.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КНС №1 напорный коллектор, замена задвижки диаметром 200 мм – 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ул. 1 Советская, замена задвижки диаметром 50 мм-1шт.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Грибоедова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д. 12, замена задвижки 100 мм – 1шт. 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КНС №7 замена насоса обратного клапана насоса №2;</w:t>
      </w:r>
      <w:r/>
    </w:p>
    <w:p>
      <w:pPr>
        <w:contextualSpacing/>
        <w:ind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Замена насосного оборудования:</w:t>
      </w:r>
      <w:r/>
    </w:p>
    <w:p>
      <w:pPr>
        <w:numPr>
          <w:ilvl w:val="0"/>
          <w:numId w:val="15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КНС №7, замена насосного агрегата СД 250-22,5 – 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КНС №2, замена насоса СД 450-22,5 – 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КНС №3, замена насосного агрегата СД-450-22,5 – 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КНС №4, замена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погружного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насоса ONIMIQ SLF 150-75/380А – 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Замена водопроводных сетей 163м: пер.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д. 4 - 3 п.м., 1 Советская – 160 п.м.,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Замена участков самотечных сетей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канализации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18м: 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ул. Баранова д.8 –замена участка диаметром 200мм, протяженностью 6 метров;  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пересечение улиц Кирова и Максима Горького – замена участка самотечного коллектора диаметром 300мм, протяженностью 6 метров;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ул. Ломоносова, д. 51 – замена участка самотечного коллектора диаметром 200 мм протяженностью 6 метров.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Выполнены мероприятия по профилактической промывке канализационных сетей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Сланцы, общей протяженностью 7 637 метров. 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Выполнено восстановление нарушенного асфальтового покрытия 626,93 кв. м. 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Планы на 2026 год.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ГУП «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Леноблводоканал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в 2026 году планирует выполнить следующие мероприятия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: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Капитальный ремонт канализационного напорного коллектора от КНС № 2 до ЦБО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Сланцы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 Ленинградской области. Срок реализации - 21 месяц. Протяженность 5876,60 метров;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709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2026 году Предприятие планирует выполнение собственными силами проектирование по объекту «Капитальный ремонт канализационного самотечного коллектора по ул.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Спортивная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д. 1 до ул.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Климчука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г. Сланцы Ленинградской области для получения положительного заключения государственной экспертизы. В 2027 году Предприятие планирует выполнение строительно-монтажных работ по капитальному ремонту Объекта; </w:t>
      </w:r>
      <w:r/>
    </w:p>
    <w:p>
      <w:pPr>
        <w:numPr>
          <w:ilvl w:val="0"/>
          <w:numId w:val="14"/>
        </w:numPr>
        <w:contextualSpacing/>
        <w:ind w:left="0" w:firstLine="709"/>
        <w:jc w:val="both"/>
        <w:spacing w:after="0" w:line="240" w:lineRule="auto"/>
        <w:tabs>
          <w:tab w:val="left" w:pos="284" w:leader="none"/>
          <w:tab w:val="left" w:pos="567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Проведение проектно-изыскательских работ и разработка проектно-сметной документации на строительство канализационных очистных сооружений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Сланцы (КОС).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4"/>
        <w:numPr>
          <w:ilvl w:val="0"/>
          <w:numId w:val="18"/>
        </w:numPr>
        <w:ind w:left="0" w:firstLine="709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Капитальный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ремонт</w:t>
      </w:r>
      <w:r>
        <w:rPr>
          <w:rFonts w:eastAsia="Times New Roman" w:cs="Times New Roman"/>
          <w:b/>
          <w:bCs/>
          <w:sz w:val="28"/>
          <w:szCs w:val="28"/>
          <w:u w:val="single"/>
        </w:rPr>
        <w:t xml:space="preserve"> МКД 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году, на основании утвержденного Краткосрочного муниципального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плана реализации Региональной программы капитального ремонта общего имущества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МКД, расположенных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городского поселения выполнены работы в 17 МКД: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- капитальный ремонт лифтового оборудования в 1 МКД: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(просп. Молодежный д. 11а);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- капитальный ремонт фасада в 6 МКД: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(ул. Кирова д. 32, д. 34, д. 36, ул. Ленина д. 2, д. 6, ул. М. Горького д. 1/11);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- капитальный ремонт крыши в 4 МКД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(ул. Ломоносова д. 17, д. 37, ул. Свердлова д. 5, ул. Свободы д. 6);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- проектно-изыскательские работы в 13 МКД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(просп. Молодежный д. 11а – ПИР лифт, ул.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Грибоедова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д. 4 – ПИР фасад, пер. Дзержинского д. 3 – ПИР крыша, ул. Дзержинского д. 9 – ПИР крыша, ул. Кирова д. 15 – ПИР фасад, ул. Кирова д. 32 – ПИР фасад, ул. Кирова д. 34 – ПИР фасад, ул. Кирова д. 36 – ПИР фасад, ул. Ленина д. 2 – ПИР фасад, ул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Ленина д. 6 – ПИР фасад, ул. Ломоносова д. 25/1 – ПИР крыша, ул. М. Горького д.1/11 – ПИР фасад, ул. Чайковского д. 8 – ПИР крыша)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- ТО лифта в 1 МКД: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(просп.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Молодежный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д. 11а).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Стоимость выполненных работ составила -  более 146 млн. руб.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Финансирование данных работ осуществлялось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за счет средств собственников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помещений в многоквартирных домах, формирующих фонды капитального ремонта на счете Регионального оператора.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ходом выполнения работ и каче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ством их исполнения велся контроль со стороны регионального оператора Фонда капитального ремонта, специалистами строительного контроля, а также комитетом по жилищно-коммунальному хозяйству Ленинградской области, администрацией и управляющими организациями.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Процент собираемости взносов на капитальный ремонт населением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городскому поселению за 2025 год составил  - 89,18 % (начислено 107, 873 млн.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оплачено 96,198 млн. руб.)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2026 году, на основании утвержденного Краткосрочного муниципального плана,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городского поселения запланировано проведение 15 видов работ в 11 МКД: 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- капитальный ремонт крыши  в 3 МКД: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ул. Свердлова д. 19, д. 22, пер. Дзержинского д. 3);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капитальный ремонт сетей электроснабжения в 1 МКД: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(ул. Баранова д. 10);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капитальный ремонт сетей холодного водоснабжения в 2 МКД: (ул. Ломоносова д. 17, д. 37)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- проектно-изыскательские работы в 3 МКД: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(ул. Кирова д. 53 - ПИР лифт, ул. Ломоносова д. 17 – ПИР ХВС, ул. Ломоносова д. 37 – ПИР ХВС);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-установка прибора учета и узла учета в 4 МКД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ул. Кирова д. 17, д. 25, ул. Ленина д. 2, ул. Чкалова д. 5);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- капитальный ремонт лифтового оборудования в 1 МКД: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(ул. Кирова д. 53);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- ТО лифта в 1 МКД: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(ул. Кирова д. 53).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Сумма плановых работ по капитальному ремонту в 2026 году составляет  более 29 млн.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руб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Финансирование данных работ планируется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за счет средств собственников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помещений в многоквартирных домах, формирующих фонды капитального ремонта на счете Регионального оператора и на специальных счетах.</w:t>
      </w:r>
      <w:r/>
    </w:p>
    <w:p>
      <w:pPr>
        <w:ind w:firstLine="709"/>
        <w:jc w:val="center"/>
        <w:spacing w:line="240" w:lineRule="auto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/>
    </w:p>
    <w:p>
      <w:pPr>
        <w:ind w:firstLine="709"/>
        <w:jc w:val="center"/>
        <w:spacing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Формирование комфортной городской среды</w:t>
      </w:r>
      <w:r/>
    </w:p>
    <w:p>
      <w:pPr>
        <w:ind w:firstLine="709"/>
        <w:jc w:val="both"/>
        <w:spacing w:after="0" w:line="240" w:lineRule="auto"/>
        <w:tabs>
          <w:tab w:val="left" w:pos="558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повышения уровня благоустройства и создания комфортных условий проживания населения,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начиная с 2017 года,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городского поселения принимает активное участие в национальном проекте «Инфраструктура для жизни» Федерального проекта «Формирование комфортной городской среды». </w:t>
      </w:r>
      <w:r/>
    </w:p>
    <w:p>
      <w:pPr>
        <w:ind w:firstLine="709"/>
        <w:jc w:val="both"/>
        <w:spacing w:after="0" w:line="240" w:lineRule="auto"/>
        <w:tabs>
          <w:tab w:val="left" w:pos="558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Основная цель проекта – сделать город более комфортным для жителей.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период действия программы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городского поселения благоустроено 10 общественных и 29 дворовых территорий.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проведены работы по благоустройству: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Общественной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территории: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«ЛУЧКИ площадь В.И.Ленина».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Мероприятия финансировались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 счет средств Федерального, регионального и местного бюджетов.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рамках реализации проекта, на территории уложена тротуарная плитка, выведено дополнительное освещение с энергосберегающими светильниками, установлены цветники, скамейки, урны, цветочная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плита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же произведено озеленение территории, обустроены авто и вело парковки.</w:t>
      </w:r>
      <w:r/>
    </w:p>
    <w:p>
      <w:pPr>
        <w:ind w:firstLine="709"/>
        <w:jc w:val="both"/>
        <w:spacing w:after="0" w:line="240" w:lineRule="auto"/>
        <w:tabs>
          <w:tab w:val="left" w:pos="558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беспрепятственного попадания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маломобильных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групп населения на территорию общественного пространства предусмотрены зоны понижения бордюра в местах примыкания дороги к тротуару.</w:t>
      </w:r>
      <w:r/>
    </w:p>
    <w:p>
      <w:pPr>
        <w:ind w:firstLine="709"/>
        <w:jc w:val="both"/>
        <w:spacing w:after="0" w:line="240" w:lineRule="auto"/>
        <w:tabs>
          <w:tab w:val="left" w:pos="709" w:leader="none"/>
          <w:tab w:val="left" w:pos="558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Благоустроена площадь в 5867 кв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етров. </w:t>
      </w:r>
      <w:r/>
    </w:p>
    <w:p>
      <w:pPr>
        <w:ind w:firstLine="709"/>
        <w:jc w:val="both"/>
        <w:spacing w:after="0" w:line="240" w:lineRule="auto"/>
        <w:tabs>
          <w:tab w:val="left" w:pos="558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tabs>
          <w:tab w:val="left" w:pos="558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Дворовой территории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ул. Кирова, д. 12А. </w:t>
      </w:r>
      <w:r/>
    </w:p>
    <w:p>
      <w:pPr>
        <w:ind w:firstLine="709"/>
        <w:jc w:val="both"/>
        <w:spacing w:after="0" w:line="240" w:lineRule="auto"/>
        <w:tabs>
          <w:tab w:val="left" w:pos="558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 счет бюджета 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местного бюджета.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558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мероприятий по благоустройству были обустроены парковки, вымощены тротуары и пешеходные дорожки. Установлено ограждение и дополнительное освещение с энергосберегающими светильниками.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Обустроены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зона тихого отдыха, спортивная площадка, установлена детская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качель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На дворовой территории появились удобные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скамейки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 так же установлены урны и вазоны. Произведено озеленение, высажены деревья и декоративные кустарники. Для беспрепятственного попадания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маломобильных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групп населения на территорию общественного пространства предусмотрены зоны понижения бордюра в местах примыкания дороги к тротуару.</w:t>
      </w:r>
      <w:r/>
    </w:p>
    <w:p>
      <w:pPr>
        <w:ind w:firstLine="709"/>
        <w:jc w:val="both"/>
        <w:spacing w:after="0" w:line="240" w:lineRule="auto"/>
        <w:tabs>
          <w:tab w:val="left" w:pos="558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Благоустроена площадь в 9050 кв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етров.    </w:t>
      </w:r>
      <w:r/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На 2026 год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рамках приоритетного проекта «Формирование комфортной городск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ой среды» одобрена заявка и выделены средства на благоустройство одной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общественной территории: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Территория за домами 28/2 по ул. Ленина и 4 п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о ул.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Ш.Слава.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(Бульвар Шахтерской славы)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75"/>
        <w:contextualSpacing w:val="0"/>
        <w:ind w:left="709"/>
        <w:jc w:val="both"/>
        <w:rPr>
          <w:highlight w:val="none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И </w:t>
      </w:r>
      <w:r>
        <w:rPr>
          <w:rFonts w:eastAsia="Times New Roman" w:cs="Times New Roman"/>
          <w:sz w:val="28"/>
          <w:szCs w:val="28"/>
          <w:lang w:val="ru-RU"/>
        </w:rPr>
        <w:t xml:space="preserve">дворовой территории 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г. Сланцы, ул.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Спортивная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д. 9/2</w:t>
      </w:r>
      <w:r/>
      <w:r>
        <w:rPr>
          <w:rFonts w:cs="Times New Roman"/>
          <w:sz w:val="28"/>
          <w:szCs w:val="28"/>
          <w:lang w:val="ru-RU"/>
        </w:rPr>
      </w:r>
    </w:p>
    <w:p>
      <w:pPr>
        <w:pStyle w:val="875"/>
        <w:contextualSpacing w:val="0"/>
        <w:ind w:left="709"/>
        <w:jc w:val="both"/>
        <w:rPr>
          <w:rFonts w:cs="Times New Roman"/>
          <w:sz w:val="28"/>
          <w:szCs w:val="28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numPr>
          <w:ilvl w:val="2"/>
          <w:numId w:val="21"/>
        </w:numPr>
        <w:ind w:left="0" w:firstLine="709"/>
        <w:jc w:val="both"/>
        <w:spacing w:after="0" w:line="240" w:lineRule="auto"/>
        <w:widowControl w:val="off"/>
        <w:tabs>
          <w:tab w:val="left" w:pos="94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Дорожная деятельность и безопасность дорожного движения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Общая протяженность автомобильных дорог расположенных на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территории муниципального образования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Сланцевское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городское поселение составляет 105,5 км, в том числе: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- 65,4 км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асфальтовым покрытием;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 40,1 км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гравийно-щебеночным покрытием.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tabs>
          <w:tab w:val="clear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 рамках эксплуатационно-технического обслуживания и содержания сетей уличного освещения произведена замена  236 вышедших из строя светильников на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городского поселения.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tabs>
          <w:tab w:val="clear" w:pos="0" w:leader="none"/>
        </w:tabs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Вдоль автомобильных дорог общего пользования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местного значения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городского поселения «объездная дорога от улицы Гагарина до ул. Ленина», ул. Право-Набережная и «объездная дорога от пр. Молодежный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до ул. Гагарина»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выполнены работы выполнены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работы по обустройству уличного освещения общей протяжённостью 2.8 км.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 рамках обеспечения безопасности дорожного движения на автомобильных дорогах общего пользования местного значения проводились следующие работы: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содержание технических средств организации дорожного движения (8 светофорных объектов);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ремонт сигнальных светофоров Т.7 на 4 пешеходных переходах, расположенных около образовательных организаций по адресам: ул. Кирова д.11 (СОШ №3), ул.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Грибоедова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д.19б (СОШ №3),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пр-т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Молодежный д.9 (СОШ №6), ул. Максима Горького д.9 (СОШ №1).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разработана проектно-сметная документация на капитальный ремонт моста через р.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Кушёлка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на автомобильной дороге общего пользования местного значения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Сланцевское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шоссе.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 2025 году проведен ремонт дорожного покрытия общей площадью 9916 кв. м. на дорогах: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Подъезд к МДОУ «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Сланцевский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детский сад № 10»;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Подъезд к МДОУ «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Сланцевский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детский сад № 7»;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Подъезд к МОУ «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Сланцевская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ШОС № 3»;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Подъезд к МДОУ «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Сланцевский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детский сад № 2»;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Подъезд № 2 к МДОУ «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Сланцевский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детский сад № 22».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hi-IN" w:bidi="hi-IN"/>
        </w:rPr>
      </w:r>
    </w:p>
    <w:p>
      <w:pPr>
        <w:numPr>
          <w:ilvl w:val="0"/>
          <w:numId w:val="22"/>
        </w:numPr>
        <w:ind w:left="0"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hi-IN" w:bidi="hi-IN"/>
        </w:rPr>
        <w:t xml:space="preserve">Создание условий для предоставления транспортных услуг населению и организация транспортного обслуживания населения в границах поселения</w:t>
      </w:r>
      <w:r>
        <w:rPr>
          <w:b/>
          <w:bCs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Осуществление пассажирских перевозок на городских автобусных маршрутах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городского поселения в 2025 году производилось индивидуальным предпринимателем Марковым Виктором Александровичем. 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На сегодняшний день организовано и функционирует 8 муниципальных маршрутов в границах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городского поселения. 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Объём пассажиропотока за 2025 год по данным автобусным маршрутам составил около 1172,8 тыс. человек.</w:t>
      </w:r>
      <w:r/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конкурсных процедур, проведённых в конце 2025 </w:t>
      </w:r>
      <w:r>
        <w:rPr>
          <w:rFonts w:ascii="Times New Roman" w:hAnsi="Times New Roman" w:cs="Times New Roman"/>
          <w:sz w:val="28"/>
          <w:szCs w:val="28"/>
        </w:rPr>
        <w:t xml:space="preserve">года, определён перевозчик для осуществления пассажирских перевозок по муниципальным маршрутам Сланцевского городского поселения и  пригородным маршрутам Сланцевского муниципального района на период 2026-2030 годов им стало ООО «Волосово - Межрегионтранс».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hi-IN" w:bidi="hi-IN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 рамках действующего контракта, заключенного между администрацией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муниципального район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а и ООО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«ДОРРЕМСТРОЙ» в 2025 году проводились следующие мероприятия по благоустройству: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поддержание полосы отвода, обочин, откосов и разделительных полос в чистоте и порядке; очистка их от пыли, грязи, твердых отходов и мусора;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планировка откосов насыпей и выемок, исправление повреждений с добавлением грунта, ликвидация последствий обвалов;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поддержание элементов системы водоотвода в чистоте и порядке;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устройство дренажных прорезей;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противопаводковые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мероприятия;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подрезка веток и снос деревьев, мешающих обзору технических средств организации дорожного движения;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побелка стволов деревьев по ул. Кирова, ул. Ленина, ул. Гагарина, ул. Ломоносова, ул. Дзержинского, ул. Маяковского общим количеством 2 536 шт.; 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устранение деформаций и повреждений (заделка выбоин, просадок, шелушения,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выкрашивания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и других дефектов) покрытий, исправление кромок покрытий;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подсыпка, планировка и уплотнение щебеночных и гравийных обочин; устранение деформаций и повреждений на укрепленных обочинах;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организация ограничения движения транспорта в установленном порядке в весенне-осеннюю распутицу, на время проведения праздничных и спортивных мероприятий;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очистка от снега и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льда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автомобильных дорог, тротуаров, парковок, площадей, автобусных остановок, мостовых сооружений;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распределение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противогололедных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материалов.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погрузка и вывоз снега и льда.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Проводились работы по установке (замене) дорожных знаков постоянной дислокации в соответствии с Проектом организации дорожного движения общим количеством 76 штук.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Нанесена горизонтальная дорожной разметки краской с применением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световозвращающих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микростеклошариков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общей площадью 5152,94 м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и в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том числе холодным пластиком общей площадью 1202,24 м2.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Нанесение краевой горизонтальной дорожной разметки краской с применением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световозвращающих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микростеклошариков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общей площадью 6404,2 м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Проводились работы по благоустройству территории общего пользования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городского поселения: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посадка цветов в клумбы общим количеством 8900 штук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.;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- выполнена стрижка живой изгороди общим объемом 2428 м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hi-IN" w:bidi="hi-IN"/>
        </w:rPr>
        <w:t xml:space="preserve">Энергосбережение</w:t>
      </w:r>
      <w:r/>
    </w:p>
    <w:p>
      <w:pPr>
        <w:pStyle w:val="866"/>
        <w:contextualSpacing w:val="0"/>
        <w:ind w:lef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городского поселения в 2025 году были проведены мероприятия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энергоэффективности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Мероприятия финансировались за счет средств местного бюджета – 8 857 тыс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уб.</w:t>
      </w:r>
      <w:r/>
    </w:p>
    <w:p>
      <w:pPr>
        <w:pStyle w:val="866"/>
        <w:contextualSpacing w:val="0"/>
        <w:ind w:lef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счёт бюджета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городского поселения:</w:t>
      </w:r>
      <w:r/>
    </w:p>
    <w:p>
      <w:pPr>
        <w:pStyle w:val="866"/>
        <w:numPr>
          <w:ilvl w:val="0"/>
          <w:numId w:val="23"/>
        </w:numPr>
        <w:contextualSpacing w:val="0"/>
        <w:ind w:lef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проведено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повышение квалификации персонала по вопросам энергосбережения и повышения энергетической эффективности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pStyle w:val="866"/>
        <w:numPr>
          <w:ilvl w:val="0"/>
          <w:numId w:val="26"/>
        </w:numPr>
        <w:ind w:left="0" w:righ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были выполнены работы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замене 115 неисправных светильников;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numPr>
          <w:ilvl w:val="0"/>
          <w:numId w:val="26"/>
        </w:numPr>
        <w:ind w:left="0" w:righ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установлены 2,8 км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иний уличного освещения;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numPr>
          <w:ilvl w:val="0"/>
          <w:numId w:val="26"/>
        </w:numPr>
        <w:ind w:left="0" w:righ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установлено 83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светоточки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вдоль ул. Право-Набережная, объездных от ул. Гагарина до ул. Ленина и от пр.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Молодежный до ул. Гагарина</w:t>
      </w:r>
      <w:r>
        <w:t xml:space="preserve">;</w:t>
      </w:r>
      <w:r/>
    </w:p>
    <w:p>
      <w:pPr>
        <w:pStyle w:val="866"/>
        <w:numPr>
          <w:ilvl w:val="0"/>
          <w:numId w:val="23"/>
        </w:numPr>
        <w:contextualSpacing w:val="0"/>
        <w:ind w:lef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актуализации схемы теплоснабжения муниципального образования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городское поселение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Ленинградской области до 2030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pStyle w:val="866"/>
        <w:contextualSpacing w:val="0"/>
        <w:ind w:lef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2026 году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городского поселения запланированы работы по ремонту уличного освещения, замене старых неисправных светильников. </w:t>
      </w:r>
      <w:r/>
    </w:p>
    <w:p>
      <w:pPr>
        <w:pStyle w:val="866"/>
        <w:contextualSpacing w:val="0"/>
        <w:ind w:lef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866"/>
        <w:contextualSpacing w:val="0"/>
        <w:ind w:lef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Обращение с твёрдыми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коммунальными отходами</w:t>
      </w:r>
      <w:r/>
    </w:p>
    <w:p>
      <w:pPr>
        <w:pStyle w:val="866"/>
        <w:contextualSpacing w:val="0"/>
        <w:ind w:lef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счет средств местного бюджета проведена реконструкция контейнерной площадки расположенной на городском кладбище в д. Сосновка, а также закуплены бункеры для строительного мусора в количестве 2 штук, которые планируется установить в 2026 году.</w:t>
      </w:r>
      <w:r/>
    </w:p>
    <w:p>
      <w:pPr>
        <w:pStyle w:val="866"/>
        <w:contextualSpacing w:val="0"/>
        <w:ind w:lef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декабре 2025 года проведены работы по установке камер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видеофиксации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несанкционированного сброса отходов, не относящихся к ТКО, на контейнерных площадках, расположенных в частном секторе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городского поселения, на которых чаще всего образуются навалы отходов разного класса опасности:</w:t>
      </w:r>
      <w:r/>
    </w:p>
    <w:p>
      <w:pPr>
        <w:pStyle w:val="866"/>
        <w:contextualSpacing w:val="0"/>
        <w:ind w:lef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пересечение ул. 1 Мая и Маяковского: контейнерная площадка - 59.094595,28.174465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;</w:t>
      </w:r>
      <w:r/>
    </w:p>
    <w:p>
      <w:pPr>
        <w:pStyle w:val="866"/>
        <w:contextualSpacing w:val="0"/>
        <w:ind w:lef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м-н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Замошье (на выезде): контейнерная площадка - 59.085733, 28.192500.</w:t>
      </w:r>
      <w:r/>
    </w:p>
    <w:p>
      <w:pPr>
        <w:pStyle w:val="866"/>
        <w:contextualSpacing w:val="0"/>
        <w:ind w:lef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2026 году планируется продолжить оснащение контейнерных площадок, входящих в зону ответственности администрации, системами видеонаблюдения.</w:t>
      </w:r>
      <w:r/>
    </w:p>
    <w:p>
      <w:pPr>
        <w:pStyle w:val="866"/>
        <w:contextualSpacing w:val="0"/>
        <w:ind w:left="0" w:firstLine="709"/>
        <w:jc w:val="both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Сфера культуры, спорта и молодежной политики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2025 год в Российской Федерации объявлен Годом защитника Отечества и 80-летия Победы в Велико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Отечественной войне 1941–1945 годов, а в Ленинградской области – Годом Команды Победы. Эти знаковые инициативы были направлены на сохранение исторической памяти, патриотическое воспитание молодежи и укрепление традиционных ценностей российского общества.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Сфера культуры остается одним из ключевых направлений в устойчивом развитии города. Администрация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муниципального района совместно с муниципальными учреждениями культуры и спорта активно реализует свои полномочия в следующих направлениях: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Создаются условия для обеспечения жителей качественными услугами организаций культуры, направленными на удовлетворение их духовных и творческих потребностей;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Организовано библиотечное обслуживание населения, включающее комплектование и обеспечение сохранности библиотечных фондов, что способствует развитию культуры чтения и доступа к знаниям;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Обеспечиваются условия для развития физической культуры и массового спорта;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Проводятся официальные физкультурно-оздоровительные и спортивные мероприятия, направленные на укрепление здоровья и популяризацию активного образа жизни;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Реализуются мероприятия в рамках молодежной политики, направленные на   сохранение и укрепление традиционных российских духовно-нравственных ценностей, развитие творческого потенциала и социальной активности подрастающего поколения;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Создаются условия для развития местного традиционного народного художественного творчества, сохранения и популяризации культурного наследия;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Принимаются меры по укреплению межнационально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и межконфессионального согласия, сохранению и развитию языков и культуры народов Российской Федерации, проживающих на территории города. Осуществляется социальная и культурная адаптация мигрантов, профилактика межнациональных (межэтнических) конфликтов.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Учреждения культуры и спорта активно участвуют в профилактике терроризма и экстремизма, способствуя формированию толерантного и безопасного общества.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Муниципальная программа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деятельность в сфере культуры, спорта и молодежной политики осуществлялась в соответствии с муниципальной программой «Развитие культуры, спорта и молодежной политики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городского поселения» на 2020–2030 годы. На реализацию программы в отчетном году было предусмотрено 136,7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млн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рублей, из которых освоено 136,6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млн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рублей.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Выделенные средства были направлены на следующие ключевые направления: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выплату заработной платы работникам сферы культуры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содержание муниципальных учреждений культуры, и молодежной политики;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развитие творческих коллективов, работающих на базе учреждений;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укрепление материально-технической базы;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организацию городских праздников, физкультурно-оздоровительных и спортивных мероприятий;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реализацию мероприятий в рамках молодежной политики.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Таким образом, программа способствовала созданию благоприятных условий для развития культурной, спортивной и молодежной активности жителей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городского поселения.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</w:rPr>
        <w:t xml:space="preserve"> Национальные цели развития. Национальные проекты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Инструментом реализации Национальных целей развития являются Национальные проекты России, сформулированные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Президентом Российской Федерации В.В. Путиным до 2030 года. С 2019 года учреждения культуры и спорта активно включились в реализацию таких проектов, как «Демография» и «Культура», с 2025 года «Семья», «Молодежь и дети», «Продолжительная и активная жизнь».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2025 году в рамках национальных проектов были достигнуты установленные показатели: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Повышение средней зарплаты работников культуры до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73 901,1руб.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2024 год - 61974,1 руб.)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Доля граждан, систематически занимающихся физической культурой и спортом: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План – 56 %, Факт – 56,3%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Рост посещаемости культурных мероприятий: з</w:t>
      </w: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а 2025 год прошло 828 ед. (2024 - 728 ед.) мероприятий, участниками которых стали 126 013 человек (2024 год -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 121 531 человек</w:t>
      </w: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Число участников клубных формирований - план/факт 2 240 чел. (2024 год - план/факт 2191 чел.)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Эти результаты свидетельствуют о популяризации здорового образа жизни и повышении доступности и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востребованности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культурных мероприятий для жителей города.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В 2025 году была обеспечена комплексная работа по всем целевым аудиториям: 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для детей и подростков создана насыщенная событийная среда, сочетающая развлечение, творчество и развитие; 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молодёжь вовлечена в социально значимые мероприятия патриотической, спортивной и образовательной направленности; 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для социально незащищённых слоёв населения организованы мероприятия, обеспечивающие социальную инклюзию, внимание и уважение. 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памятных дат и государственных приоритетов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Цикл мероприятий к 80-летию Победы: </w:t>
      </w: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церемонии возложения к мемориалам, концерты-поздравления «Фронтовая бригада» во дворах ветеранов, </w:t>
      </w: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флешмоб</w:t>
      </w: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 «Песни Победы»,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акция «Бессмертный полк», тематические выставки, «Уроки мужества», муниципальный этап военно-патриотической игры «Зарница 2.0.» с участием молодежных объединений,  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областной фестиваль «Мастеровая слобода» – возрождение народных промыслов, 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Новогодние и рождественские программы: Народное гуляние «Новогодняя ночь», детские спектакли, игровые программы у елки, «Рождественские забавы», 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народное гуляние «Широкая масленица», </w:t>
      </w: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ab/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95-летие города Сланцы: народное гуляние с концертной программой и ярмаркой, 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День России: Праздничный концерт «О России с любовью» и интерактивные площадки в парке, 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День семьи, любви и верности: </w:t>
      </w: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Праздничный концерт и мастер-классы, </w:t>
      </w: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ab/>
        <w:t xml:space="preserve">День народного единства: мероприятие с концертом «В единстве сила», ярмаркой, мастер-классами и акцией «Хоровод» на благоустроенной  пл. Ленина в </w:t>
      </w: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мкр</w:t>
      </w: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color w:val="1a1a1a"/>
          <w:sz w:val="28"/>
          <w:szCs w:val="28"/>
        </w:rPr>
        <w:t xml:space="preserve"> Лучки.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военно-патриотическую тематику года, особое внимание уделялось укреплению института семьи.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Тематические мероприятия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проводились на обновленных общественных пространствах в рамках проекта «Формирование комфортной городской среды», что способствовало повышению доступности культурных услуг, созданию условий для семейного отдыха, организации открытых патриотических акций.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Работа «Дома дружбы»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Культурно-досуговом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центре способствовала проведению этнокультурных фестивалей, реализации проектов по гармонизации межнациональных отношений, сохранению традиций народов Ленинградской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течение 2025 года в библиотеках г. Сланцы был проведен ряд мероприятий, в том числе для неорганизованной аудитории в форматах беседы, часа мужества, творческих встреч, мастер-классов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Наиболее массовыми и знаковыми стали фестиваль читательского творчества «Солнечные встречи – 2025» на тему «Путешествуй без границ – открывай новые миры в книгах!» и Всероссийская акция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Библионочь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2025» на тему «Свои Герои».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библиотека активно включилась в культурные события, посвящённые Году защитника Отечества и 80-летию Победы в Великой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Отечественной войне. В рамках этой работы про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должилось развитие проекта «Непотерянная история»: сайт регулярно пополнялся новыми материалами, публиковались статьи, видеоролики и архивные сведения о ветеранах, что способствует сохранению исторической памяти и патриотическому воспитанию жителей района.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Значимым событием стало поступление новой книжной продукции: в 2025 году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библиотека получила по безвозмездной передаче от Ленинградской областной универсальной научной библиотеки 5250 экземпляров книг, приобретённых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за счёт средств областного бюджета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Это позволило существенно обновить фонды и повысить их актуальность для читателей городских и сельских библиотек.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библиотека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заключила соглашение о сотрудничестве с Ленинградским областным государственным архивом в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 Выборге.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Теперь жители и гости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 имеют возможность знакомиться с архивными материалами, которые могут использоваться для научных исследований, образовательной деятельности, культурного просвещения и сохранения исторической памяти.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Удаленный доступ к оцифрованным документам организован в Публичной библиотеке по адресу: ул. Ленина, д.19 и в Библиотеке для детей и взрослых в Лучках по адресу: ул. Жуковского, д.6. Доступ предоставляется БЕСПЛАТНО и только на территории выш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еуказанных библиотек на специально выделенных компьютерах. Данное взаимодействие позволило расширить возможности краеведческой и исследовательской деятельности, укрепить работу по сохранению исторического наследия и обеспечить доступ к архивным источникам.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библиотека демонстрирует открытость к инновациям и современным подходам. Активно развивалось присутствие библиотеки в цифровом пространстве.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целом 2025 год подтвердил, 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биб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лиотека является важным культурным, информационным и общественным центром муниципального района, способным эффективно отвечать на современные вызовы, развиваться в цифровой среде и сохранять историко-культурное наследие, работая в интересах жителей города.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В 2025 году учреждения культуры и спорта осуществляли работу по поддержке участников специальной военной операции и членов их семей. </w:t>
      </w:r>
      <w:r/>
    </w:p>
    <w:p>
      <w:pPr>
        <w:ind w:firstLine="709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</w:rPr>
        <w:t xml:space="preserve">Обеспечение условий для развития спорта - новые спортивные сооружения, спортивные достижения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города Сланцы расположено 3 спортивных объекта, внесенных во Всероссийский реестр объектов спорта: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МКУ «Физкультурно-оздоровительный комплекс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района», структурные подразделения спортивный комплекс «Шахтер», спортивный комплекс «Химик».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Эти учреждения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проводят спортивные и физкультурно-оздоровительные мероприятия, создают условия для занятий физической культурой и спортом, а также вовлекают жителей в выполнение нормативов Всероссийского физкультурно-спортивного комплекса «Готов к труду и обороне» (ГТО).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учреждениях работают секции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Скандинавской ходьбе, баскетболу, футболу, волейболу, бадминтону,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тхэквондо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шашкам,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воркауту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спортивным танцам, настольному теннису, оздоровительным практикам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цигун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пилатес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танцетерапия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адаптивной физкультуре и общей физической подготовке для всех возрастов.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города реализовывался проект «Дворовый тренер»: летние мастер-классы на спортивных площадках с участием более 500 человек (85% – дети 8–16 лет). Всероссийская акция «10 000 шагов к жизни».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Года защитника Отечества и 80-летия Победы проведены: «Чемпионат города Сланцы по баскетболу», «Кросс нации», «Пробег памяти Пискунова Е.И.», «Фестиваль ГТО в моей семье».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Действуют льготы для ветеранов боевых действий: бесплатное пользование тренажерами.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МКУ «ФОК СМР» посетили: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тренеры и лучшие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игроке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команды футбольного клуба «Ленинградец», которые провели мастер-класс для юных футболистов;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представители «Многофункционального центра «Молодежный», которые организовали мероприятие на тему «Здоровье-образ жизни».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физкультурно-оздоровительном комплексе традиционными стали спортивно-патриотические игры на переходящий «Кубок Ветеранов локальных войн и военных конфликтов»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хват составил в  2025 году - 80 чел.) Инициатором соревнований выступает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отделение союза ветеранов Локальных воин и военных конфликтов.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МКУ «ФОК СМР» на 2025 год были запланированы расходы на проведение физкультурных и спортивных мероприятий – 1000 000 рублей согласно календарному плану. Фактические расходы по итогам   2025 года – 1 000 000 рублей.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2025 год МКУ «ФОК СМР» организовал и провел 47 городских мероприятия с общей численностью участников 1205 человек. </w:t>
      </w:r>
      <w:r/>
    </w:p>
    <w:p>
      <w:pPr>
        <w:ind w:firstLine="709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</w:rPr>
        <w:t xml:space="preserve">Молодежная политика, волонтеры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  <w:t xml:space="preserve">Поддержка деятельности молодежных общественных объединений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  <w:t xml:space="preserve">Центр юнармейской подготовки «Дом «ЮНАРМИИ», ул. Кирова, 16 а, Молодежный центр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 2025 году «Дом «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Юнармии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г. Сланцы стал победителем Всероссийского смотра-конкурса «Лучший Дом «ЮНАРМИИ», в категории Дома «ЮНАРМИИ», претендующие на получение материально-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хнического оснащения (не получившие материально-техническое оснащение за счет средств Аппарата Главного Штаба с 2021 по 2024 гг.) и осуществляющие свою деятельность менее 1 года (с момента получения статуса «Дом «ЮНАРМИИ» решением Главного Штаба Движения).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По итогам полученных результатов, в соответствии с договором безвозмездного пользования имуществом Всеро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ссийского детско-юношеского военно-патриотического общественного движения «ЮНАРМИЯ» подразделению было предоставлено оснащение для организации рабочего пространства и проведения мероприятий, направленных на решение поставленных перед Домом «ЮНАРМИИ» задач.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  <w:t xml:space="preserve">Общественный центр гражданско-патриотического воспитания молодежи МО «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  <w:t xml:space="preserve">Сланцевский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  <w:t xml:space="preserve"> муниципальный район» «ВОЛОНТЕРЫ ПОБЕДЫ»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К 80-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летию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Победы в Великой Отечественной войне проведен ряд патриотических мероприятий, направленных на увековечивание памяти великой даты. Так в ходе подготовки к празднованию, в начале года, волонтерами движения «Волонтеры Победы» среди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ветеранов, проживающих на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района организован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мониторинг пожеланий и потребностей, охвачено более 180 человек. По результатам опроса проведен сбор воспоминаний.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Подготовлены и проведены мероприятия: акция «Георгиевская ленточка», акция «Концерт во дворе ветерана», акция «Окна Победы»,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флэш-моб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«Песни Победы», волонтерское сопровождение праздничных мероприятий городского уровня («Бессмертный Полк», «Торжественное возложение цветов и венков к воинским захоронениям «Скорбящий воин» и «Северная окраина»).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Волонтер от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района вошел в состав делегации Ленинградской области на Итоговом форуме Международного волонтерского корпуса 80-я Победы в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. Москва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  <w:t xml:space="preserve">Совершенствование  материально- технической базы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При поддержке главы администрации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района в 2025 году приобретены 3-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программно-аппаратных модулей для обучения основам пилотирования БПЛА с составляющей из ноутбука с установленным симулятором обучения полетов на БПЛА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квадрокоптерного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типа и набора БПЛА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мультироторного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типа -  885 540,00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Приобретение техники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для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Дом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ЮНАРМИИ (за счет средств депутата законодательного собрания ЛО Густова В.А) 116 842,11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Приобретена экипировка для молодежи (бюджет города) – 244 000,00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Осуществлен ремонт помещений молодежного клуба «Орленок», по адресу ул.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Грибоедова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16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-на ремонт помещений молодежного клуба «Орленок» (средства депутата законодательного собрания ЛО) - 847 306, 93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-на ремонт входной группы молодежного клуба «Орленок» (средств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а ООО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Петербургцемент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») - 355 963,03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  <w:lang w:eastAsia="zh-C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  <w:lang w:eastAsia="zh-C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  <w:t xml:space="preserve">Форумная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  <w:t xml:space="preserve">кампания</w:t>
      </w:r>
      <w:r>
        <w:rPr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Молодежь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района стала участницей Всероссийской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форумной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кампании 2025 года, организуемой ежегодно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Росмолодежью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с целью формирования молодежных сообщест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в-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проводников смыслов по ключевым направлениям государственной политики, с целью продвижения традиционных духовно-нравственных ценностей и национальных приоритетов России (2025 год -  109 чел., 2024 год - 130 чел.)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2026 год - Год единства народов России и Год созидания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Цели и задачи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2026 год в Российской 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едерации объявлен Годом единства народов России согласно указу Президента В.В. Путина. Этот год посвящен: укреплению межнационального согласия, сохранению культурного многообразия страны, развитию традиций народов России, поддержке этнокультурных проектов.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Ленинградской области Губернатор А.Ю. Дрозденко объявил 2026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Годом созидания, подчеркнув важность: реализации инфраструктурных проектов, развития социальной сферы, создания комфортной среды для жизни, поддержки общественных инициатив.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Приоритеты работы  в  сферах  культуры,  спорта  и молодежной  политики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городском  поселении  на 2026 год: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Укрепление межнационального единства, реализация созидательных проектов,  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звитие спортивной инфраструктуры, организация выставок народного творчества, поддержка межнациональных творческих коллективов, реализация программ поддержки многонациональных семей, развитие волонтерского движения, проведение образовательных проектов и др.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Ожидаемые результаты: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Укрепить межнациональные связи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Реализовать важные инфраструктурные проекты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Повысить уровень толерантности и взаимопонимания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Сохранить и развить культурное наследие народов России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Укрепление единства и реализация созидательных инициатив в области  культуры  и спорта – неотъемлемые  составляющие  улучшения качества жизни жителей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городского поселения.</w:t>
      </w:r>
      <w:r/>
    </w:p>
    <w:p>
      <w:pPr>
        <w:ind w:firstLine="709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Безопасность,  гражданская оборона,  предупреждение чрезвычайных ситуаций,  обеспечение первичных мер пожарной безопасности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Одним из основных аспектов деятельности администрации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района является обеспечение безопасности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жизнедеятельности населения района.  В рамках исполнения данного полномочия проводилась  работа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профилактике терроризма и проявлений экстремизма;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оказанию содействия правоохранительным органам в обеспечении общественного порядка и общественной безопасности,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первичному воинскому учету;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гражданской обороне и предупреждению и ликвидации чрезвычайных ситуаций,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обеспечению первичных мер пожарной безопасности,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безопасности людей на водных объектах.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обеспечения правопорядка и безопасности: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района от 28.09.2021 года № 1293-п образовано координационное совещание по обеспечению правопорядка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района. Заседания проводятся ежеквартально в соответствии с утвержденным планом работы.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 исполнение Постановления правительства Российской Федерации от 25 марта 2015 г. N 272 «Об утверждении требований к антитеррористической защищенности мест массового пребывания людей и объектов (территорий),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длежащих обязательной охране войсками национальной гвардии РФ, и форм паспортов безопасности таких мест и объектов (территорий), в 2024 году проведена работа по категорированию объектов и актуализации паспортов безопасности мест массового пребывания людей.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Ежегодно заключаются муниципальные 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нтракты на осуществления охраны мест с массовым пребыванием людей с частными охранными организациями, имеющими лицензию на данный вид деятельности, проводится техническое обслуживание системы оповещения, в 2024 году произведен ремонт и замена оборудования.</w:t>
      </w:r>
      <w:r/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оказания помощи ОМВД России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Сланцевскому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району  в оперативном реагировании, содействии проведения дознания, розыскных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мероприятий, в технически исправном состоянии поддерживается аппаратно-программный комплекс автоматизированной системы «Безопасный город», функционируют 66 камер видеонаблюдения, в 2024 году - 57 камер видеонаблюдения и связь «Гражданин-полиция». Специализ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ированной организацией осуществляется техническое обслуживание камер видеонаблюдения в соответствии с муниципальным контрактом. </w:t>
      </w:r>
      <w:r/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с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озданы новые сегменты АПК «Безопасный город»: осуществлен монтаж 9 </w:t>
      </w:r>
      <w:r>
        <w:rPr>
          <w:rFonts w:ascii="Times New Roman" w:hAnsi="Times New Roman" w:cs="Times New Roman"/>
          <w:sz w:val="28"/>
          <w:szCs w:val="28"/>
        </w:rPr>
        <w:t xml:space="preserve">новых камер видеонаблюдения, произведена замена морально устаревших и вышедших из строя видеокамер. В 2024 году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с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озданы новые сегменты АПК «</w:t>
      </w:r>
      <w:r>
        <w:rPr>
          <w:rFonts w:ascii="Times New Roman" w:hAnsi="Times New Roman" w:eastAsia="Times New Roman" w:cs="Times New Roman"/>
          <w:sz w:val="28"/>
          <w:szCs w:val="28"/>
          <w:lang w:eastAsia="ru-RU" w:bidi="ru-RU"/>
        </w:rPr>
        <w:t xml:space="preserve">Безопасный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город»: осуществлен монтаж 13 </w:t>
      </w:r>
      <w:r>
        <w:rPr>
          <w:rFonts w:ascii="Times New Roman" w:hAnsi="Times New Roman" w:cs="Times New Roman"/>
          <w:sz w:val="28"/>
          <w:szCs w:val="28"/>
        </w:rPr>
        <w:t xml:space="preserve">новых камер видеонаблюдения, установлен дополнительный сервер, произведена замена оборудования для связи «Гражданин-полиция» и замена аналоговых видеокамер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цифровые. </w:t>
      </w:r>
      <w:r/>
    </w:p>
    <w:p>
      <w:pPr>
        <w:jc w:val="both"/>
        <w:spacing w:after="2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Осуществляют работу </w:t>
      </w:r>
      <w:r>
        <w:rPr>
          <w:rFonts w:ascii="Times New Roman" w:hAnsi="Times New Roman" w:cs="Times New Roman"/>
          <w:sz w:val="28"/>
          <w:szCs w:val="28"/>
        </w:rPr>
        <w:t xml:space="preserve">антитеррористическая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антинаркотическая</w:t>
      </w:r>
      <w:r>
        <w:rPr>
          <w:rFonts w:ascii="Times New Roman" w:hAnsi="Times New Roman" w:cs="Times New Roman"/>
          <w:sz w:val="28"/>
          <w:szCs w:val="28"/>
        </w:rPr>
        <w:t xml:space="preserve"> комиссии. Заседания проводятся ежеквартально в соответствии с планами работы комиссий на год.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Осуществляет деятельность учебно-методический центр для обучения неработающего населения.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средствах массовой информации, в группах в социальных сетях осуществляется информирования населения по гражданской обороне и защите от чрезвычайных ситуаций.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2025 году проведена работа по актуализации документов по оборудованию территории муниципального образования муниципальной системой оповещения населения. Заключен муниципальный контракт на монтаж двух точек системы оповещения.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оповещения населения в деревнях приобретен мобильный комплекс оповещения.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обеспечения первичных м</w:t>
      </w:r>
      <w:r>
        <w:rPr>
          <w:rFonts w:ascii="Times New Roman" w:hAnsi="Times New Roman" w:cs="Times New Roman"/>
          <w:sz w:val="28"/>
          <w:szCs w:val="28"/>
        </w:rPr>
        <w:t xml:space="preserve">ер пожарной безопасности на территории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все населенные пункты в границах поселения оборудованы пожарными щитами, укомплектованными в соответствии с нормами пожарной безопасности. В целях создания условий для наружного пожаротушения во всех населенных пунктах </w:t>
      </w:r>
      <w:r>
        <w:rPr>
          <w:rFonts w:ascii="Times New Roman" w:hAnsi="Times New Roman" w:cs="Times New Roman"/>
          <w:sz w:val="28"/>
          <w:szCs w:val="28"/>
        </w:rPr>
        <w:t xml:space="preserve">Сланцевского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созданы условия для забора воды из естественных и искусственных </w:t>
      </w:r>
      <w:r>
        <w:rPr>
          <w:rFonts w:ascii="Times New Roman" w:hAnsi="Times New Roman" w:cs="Times New Roman"/>
          <w:sz w:val="28"/>
          <w:szCs w:val="28"/>
        </w:rPr>
        <w:t xml:space="preserve">водоисточников</w:t>
      </w:r>
      <w:r>
        <w:rPr>
          <w:rFonts w:ascii="Times New Roman" w:hAnsi="Times New Roman" w:cs="Times New Roman"/>
          <w:sz w:val="28"/>
          <w:szCs w:val="28"/>
        </w:rPr>
        <w:t xml:space="preserve">. В 2025 году оборудован подъезд для установки пожарной техники к реке </w:t>
      </w:r>
      <w:r>
        <w:rPr>
          <w:rFonts w:ascii="Times New Roman" w:hAnsi="Times New Roman" w:cs="Times New Roman"/>
          <w:sz w:val="28"/>
          <w:szCs w:val="28"/>
        </w:rPr>
        <w:t xml:space="preserve">Кушелка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мкр</w:t>
      </w:r>
      <w:r>
        <w:rPr>
          <w:rFonts w:ascii="Times New Roman" w:hAnsi="Times New Roman" w:cs="Times New Roman"/>
          <w:sz w:val="28"/>
          <w:szCs w:val="28"/>
        </w:rPr>
        <w:t xml:space="preserve"> Лучки ул</w:t>
      </w:r>
      <w:r>
        <w:rPr>
          <w:rFonts w:ascii="Times New Roman" w:hAnsi="Times New Roman" w:cs="Times New Roman"/>
          <w:sz w:val="28"/>
          <w:szCs w:val="28"/>
        </w:rPr>
        <w:t xml:space="preserve">.О</w:t>
      </w:r>
      <w:r>
        <w:rPr>
          <w:rFonts w:ascii="Times New Roman" w:hAnsi="Times New Roman" w:cs="Times New Roman"/>
          <w:sz w:val="28"/>
          <w:szCs w:val="28"/>
        </w:rPr>
        <w:t xml:space="preserve">стровского.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Выполнено обновление противопожарной преграды в виде противопожарного рва по границе населенного пункта с лесным массивом по ул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расная, обустроены м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инерализованные полосы по границам д.Большие Поля и ул.Партизанская (Северная окраина). Данная работа проводится ежегодно перед началом пожароопасного периода.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Безопасность людей на водных объектах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Сланцевского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в соответствии с муниципальными контрактами обеспечивается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Межрегиональной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С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анкт Петербургской городской и Ленинградской областной общественной организацией «Всероссийского общества спасения на водах» (ВОСВОД).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Основные задачи на 2026 год: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Дальнейшее развитие автоматизированного программного комплекса «Безопасный город» с установкой новых камер видеонаблюдения в местах с массовым пребыванием людей, в том числе в местах расположения детских площадок.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Продолжение работы по обеспечению наружного пожаротушения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Сланцевского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с оборудованием пожарного пирса на улице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Гавриловская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Проведение учений и тренировок в области гражданской обороны и защиты населения и территорий от чрезвычайных ситуаций природного и техногенного характера с РСЧС муниципального и объектового уровней.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Дальнейшее оборудование муниципальной системой оповещения населения, сопряженной с Региональной централизованной системой оповещения населения,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Сланцевского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района, в соответствии с разработанной проектно-сметной документацией.</w:t>
      </w:r>
      <w:r/>
      <w:r>
        <w:rPr>
          <w:rFonts w:ascii="Times New Roman" w:hAnsi="Times New Roman" w:cs="Times New Roman"/>
          <w:color w:val="000000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Liberation Serif">
    <w:panose1 w:val="02020603050405020304"/>
  </w:font>
  <w:font w:name="Andale Sans UI">
    <w:panose1 w:val="02000603000000000000"/>
  </w:font>
  <w:font w:name="Tahoma">
    <w:panose1 w:val="020B0604030504040204"/>
  </w:font>
  <w:font w:name="Calibri">
    <w:panose1 w:val="020F0502020204030204"/>
  </w:font>
  <w:font w:name="OpenSymbol">
    <w:panose1 w:val="05010000000000000000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NSimSun">
    <w:panose1 w:val="02010609030101010101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140" w:hanging="360"/>
        <w:tabs>
          <w:tab w:val="left" w:pos="1140" w:leader="none"/>
        </w:tabs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  <w:tabs>
          <w:tab w:val="left" w:pos="15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  <w:tabs>
          <w:tab w:val="left" w:pos="22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  <w:tabs>
          <w:tab w:val="left" w:pos="29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  <w:tabs>
          <w:tab w:val="left" w:pos="36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  <w:tabs>
          <w:tab w:val="left" w:pos="43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  <w:tabs>
          <w:tab w:val="left" w:pos="51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  <w:tabs>
          <w:tab w:val="left" w:pos="58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  <w:tabs>
          <w:tab w:val="left" w:pos="654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left" w:pos="1080" w:leader="none"/>
        </w:tabs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left" w:pos="1440" w:leader="none"/>
        </w:tabs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left" w:pos="180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left" w:pos="2160" w:leader="none"/>
        </w:tabs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left" w:pos="2520" w:leader="none"/>
        </w:tabs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left" w:pos="288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left" w:pos="3240" w:leader="none"/>
        </w:tabs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left" w:pos="3600" w:leader="none"/>
        </w:tabs>
      </w:pPr>
      <w:rPr>
        <w:rFonts w:ascii="OpenSymbol" w:hAnsi="OpenSymbol" w:cs="OpenSymbol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4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1" w:hanging="180"/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  <w:rPr>
        <w:rFonts w:eastAsia="Times New Roman" w:cs="Times New Roman"/>
        <w:b/>
        <w:bCs w:val="0"/>
        <w:sz w:val="28"/>
        <w:szCs w:val="28"/>
        <w:shd w:val="clear" w:color="auto" w:fill="ffffcc"/>
        <w:lang w:val="ru-RU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4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6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8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0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4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6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01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  <w:rPr>
        <w:rFonts w:eastAsia="Times New Roman" w:cs="Times New Roman"/>
        <w:b/>
        <w:bCs w:val="0"/>
        <w:sz w:val="28"/>
        <w:szCs w:val="28"/>
        <w:shd w:val="clear" w:color="auto" w:fill="ffffcc"/>
        <w:lang w:val="ru-RU"/>
      </w:r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140" w:hanging="360"/>
        <w:tabs>
          <w:tab w:val="left" w:pos="1140" w:leader="none"/>
        </w:tabs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  <w:tabs>
          <w:tab w:val="left" w:pos="15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  <w:tabs>
          <w:tab w:val="left" w:pos="22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  <w:tabs>
          <w:tab w:val="left" w:pos="29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  <w:tabs>
          <w:tab w:val="left" w:pos="36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  <w:tabs>
          <w:tab w:val="left" w:pos="43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  <w:tabs>
          <w:tab w:val="left" w:pos="51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  <w:tabs>
          <w:tab w:val="left" w:pos="58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  <w:tabs>
          <w:tab w:val="left" w:pos="654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  <w:rPr>
        <w:sz w:val="28"/>
        <w:szCs w:val="28"/>
      </w:r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  <w:rPr>
        <w:sz w:val="28"/>
        <w:szCs w:val="28"/>
      </w:r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27" w:hanging="360"/>
        <w:tabs>
          <w:tab w:val="left" w:pos="1227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◦"/>
      <w:lvlJc w:val="left"/>
      <w:pPr>
        <w:ind w:left="1587" w:hanging="360"/>
        <w:tabs>
          <w:tab w:val="left" w:pos="1587" w:leader="none"/>
        </w:tabs>
      </w:pPr>
      <w:rPr>
        <w:rFonts w:ascii="OpenSymbol" w:hAnsi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1947" w:hanging="360"/>
        <w:tabs>
          <w:tab w:val="left" w:pos="1947" w:leader="none"/>
        </w:tabs>
      </w:pPr>
      <w:rPr>
        <w:rFonts w:ascii="OpenSymbol" w:hAnsi="Open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2307" w:hanging="360"/>
        <w:tabs>
          <w:tab w:val="left" w:pos="2307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◦"/>
      <w:lvlJc w:val="left"/>
      <w:pPr>
        <w:ind w:left="2667" w:hanging="360"/>
        <w:tabs>
          <w:tab w:val="left" w:pos="2667" w:leader="none"/>
        </w:tabs>
      </w:pPr>
      <w:rPr>
        <w:rFonts w:ascii="OpenSymbol" w:hAnsi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3027" w:hanging="360"/>
        <w:tabs>
          <w:tab w:val="left" w:pos="3027" w:leader="none"/>
        </w:tabs>
      </w:pPr>
      <w:rPr>
        <w:rFonts w:ascii="OpenSymbol" w:hAnsi="Open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3387" w:hanging="360"/>
        <w:tabs>
          <w:tab w:val="left" w:pos="3387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◦"/>
      <w:lvlJc w:val="left"/>
      <w:pPr>
        <w:ind w:left="3747" w:hanging="360"/>
        <w:tabs>
          <w:tab w:val="left" w:pos="3747" w:leader="none"/>
        </w:tabs>
      </w:pPr>
      <w:rPr>
        <w:rFonts w:ascii="OpenSymbol" w:hAnsi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4107" w:hanging="360"/>
        <w:tabs>
          <w:tab w:val="left" w:pos="4107" w:leader="none"/>
        </w:tabs>
      </w:pPr>
      <w:rPr>
        <w:rFonts w:ascii="OpenSymbol" w:hAnsi="OpenSymbol" w:cs="Open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140" w:hanging="360"/>
        <w:tabs>
          <w:tab w:val="left" w:pos="1140" w:leader="none"/>
        </w:tabs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  <w:tabs>
          <w:tab w:val="left" w:pos="15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  <w:tabs>
          <w:tab w:val="left" w:pos="22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  <w:tabs>
          <w:tab w:val="left" w:pos="29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  <w:tabs>
          <w:tab w:val="left" w:pos="36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  <w:tabs>
          <w:tab w:val="left" w:pos="43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  <w:tabs>
          <w:tab w:val="left" w:pos="51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  <w:tabs>
          <w:tab w:val="left" w:pos="58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  <w:tabs>
          <w:tab w:val="left" w:pos="654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864" w:hanging="432"/>
        <w:tabs>
          <w:tab w:val="left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1008" w:hanging="576"/>
        <w:tabs>
          <w:tab w:val="left" w:pos="432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1152" w:hanging="720"/>
        <w:tabs>
          <w:tab w:val="left" w:pos="432" w:leader="none"/>
        </w:tabs>
      </w:pPr>
      <w:rPr>
        <w:sz w:val="28"/>
        <w:szCs w:val="28"/>
      </w:rPr>
    </w:lvl>
    <w:lvl w:ilvl="3">
      <w:start w:val="1"/>
      <w:numFmt w:val="decimal"/>
      <w:isLgl w:val="false"/>
      <w:suff w:val="nothing"/>
      <w:lvlText w:val=""/>
      <w:lvlJc w:val="left"/>
      <w:pPr>
        <w:ind w:left="1296" w:hanging="864"/>
        <w:tabs>
          <w:tab w:val="left" w:pos="432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440" w:hanging="1008"/>
        <w:tabs>
          <w:tab w:val="left" w:pos="432" w:leader="none"/>
        </w:tabs>
      </w:pPr>
      <w:rPr>
        <w:sz w:val="28"/>
        <w:szCs w:val="28"/>
      </w:rPr>
    </w:lvl>
    <w:lvl w:ilvl="5">
      <w:start w:val="1"/>
      <w:numFmt w:val="decimal"/>
      <w:isLgl w:val="false"/>
      <w:suff w:val="nothing"/>
      <w:lvlText w:val=""/>
      <w:lvlJc w:val="left"/>
      <w:pPr>
        <w:ind w:left="1584" w:hanging="1152"/>
        <w:tabs>
          <w:tab w:val="left" w:pos="43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728" w:hanging="1296"/>
        <w:tabs>
          <w:tab w:val="left" w:pos="432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872" w:hanging="1440"/>
        <w:tabs>
          <w:tab w:val="left" w:pos="432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2016" w:hanging="1584"/>
        <w:tabs>
          <w:tab w:val="left" w:pos="432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ascii="Symbol" w:hAnsi="Symbol" w:cs="OpenSymbol"/>
      </w:r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  <w:rPr>
        <w:rFonts w:cs="Times New Roman"/>
        <w:b/>
        <w:sz w:val="28"/>
        <w:szCs w:val="28"/>
      </w:r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  <w:rPr>
        <w:rFonts w:eastAsia="Times New Roman" w:cs="Times New Roman"/>
        <w:sz w:val="28"/>
        <w:szCs w:val="28"/>
      </w:r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  <w:rPr>
        <w:b/>
        <w:bCs/>
        <w:sz w:val="28"/>
        <w:szCs w:val="28"/>
        <w:lang w:val="ru-RU"/>
      </w:r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140" w:hanging="360"/>
        <w:tabs>
          <w:tab w:val="left" w:pos="1140" w:leader="none"/>
        </w:tabs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  <w:tabs>
          <w:tab w:val="left" w:pos="15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  <w:tabs>
          <w:tab w:val="left" w:pos="22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  <w:tabs>
          <w:tab w:val="left" w:pos="29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  <w:tabs>
          <w:tab w:val="left" w:pos="36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  <w:tabs>
          <w:tab w:val="left" w:pos="43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  <w:tabs>
          <w:tab w:val="left" w:pos="51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  <w:tabs>
          <w:tab w:val="left" w:pos="58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  <w:tabs>
          <w:tab w:val="left" w:pos="6540" w:leader="none"/>
        </w:tabs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1140" w:hanging="360"/>
        <w:tabs>
          <w:tab w:val="left" w:pos="1140" w:leader="none"/>
        </w:tabs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  <w:tabs>
          <w:tab w:val="left" w:pos="15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  <w:tabs>
          <w:tab w:val="left" w:pos="22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  <w:tabs>
          <w:tab w:val="left" w:pos="29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  <w:tabs>
          <w:tab w:val="left" w:pos="36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  <w:tabs>
          <w:tab w:val="left" w:pos="43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  <w:tabs>
          <w:tab w:val="left" w:pos="51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  <w:tabs>
          <w:tab w:val="left" w:pos="58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  <w:tabs>
          <w:tab w:val="left" w:pos="654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4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6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8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30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4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6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901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12"/>
  </w:num>
  <w:num w:numId="7">
    <w:abstractNumId w:val="13"/>
  </w:num>
  <w:num w:numId="8">
    <w:abstractNumId w:val="9"/>
  </w:num>
  <w:num w:numId="9">
    <w:abstractNumId w:val="21"/>
  </w:num>
  <w:num w:numId="10">
    <w:abstractNumId w:val="23"/>
  </w:num>
  <w:num w:numId="11">
    <w:abstractNumId w:val="24"/>
  </w:num>
  <w:num w:numId="12">
    <w:abstractNumId w:val="6"/>
  </w:num>
  <w:num w:numId="13">
    <w:abstractNumId w:val="11"/>
  </w:num>
  <w:num w:numId="14">
    <w:abstractNumId w:val="16"/>
  </w:num>
  <w:num w:numId="15">
    <w:abstractNumId w:val="14"/>
  </w:num>
  <w:num w:numId="16">
    <w:abstractNumId w:val="22"/>
  </w:num>
  <w:num w:numId="17">
    <w:abstractNumId w:val="5"/>
  </w:num>
  <w:num w:numId="18">
    <w:abstractNumId w:val="18"/>
  </w:num>
  <w:num w:numId="19">
    <w:abstractNumId w:val="10"/>
  </w:num>
  <w:num w:numId="20">
    <w:abstractNumId w:val="2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686"/>
    <w:link w:val="707"/>
    <w:uiPriority w:val="10"/>
    <w:rPr>
      <w:sz w:val="48"/>
      <w:szCs w:val="48"/>
    </w:rPr>
  </w:style>
  <w:style w:type="character" w:styleId="37">
    <w:name w:val="Subtitle Char"/>
    <w:basedOn w:val="686"/>
    <w:link w:val="709"/>
    <w:uiPriority w:val="11"/>
    <w:rPr>
      <w:sz w:val="24"/>
      <w:szCs w:val="24"/>
    </w:rPr>
  </w:style>
  <w:style w:type="character" w:styleId="39">
    <w:name w:val="Quote Char"/>
    <w:link w:val="711"/>
    <w:uiPriority w:val="29"/>
    <w:rPr>
      <w:i/>
    </w:rPr>
  </w:style>
  <w:style w:type="character" w:styleId="41">
    <w:name w:val="Intense Quote Char"/>
    <w:link w:val="713"/>
    <w:uiPriority w:val="30"/>
    <w:rPr>
      <w:i/>
    </w:rPr>
  </w:style>
  <w:style w:type="character" w:styleId="176">
    <w:name w:val="Footnote Text Char"/>
    <w:link w:val="848"/>
    <w:uiPriority w:val="99"/>
    <w:rPr>
      <w:sz w:val="18"/>
    </w:rPr>
  </w:style>
  <w:style w:type="character" w:styleId="179">
    <w:name w:val="Endnote Text Char"/>
    <w:link w:val="851"/>
    <w:uiPriority w:val="99"/>
    <w:rPr>
      <w:sz w:val="20"/>
    </w:rPr>
  </w:style>
  <w:style w:type="paragraph" w:styleId="685" w:default="1">
    <w:name w:val="Normal"/>
    <w:qFormat/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paragraph" w:styleId="689" w:customStyle="1">
    <w:name w:val="Heading 1"/>
    <w:basedOn w:val="685"/>
    <w:next w:val="685"/>
    <w:link w:val="69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90" w:customStyle="1">
    <w:name w:val="Heading 1 Char"/>
    <w:link w:val="689"/>
    <w:uiPriority w:val="9"/>
    <w:rPr>
      <w:rFonts w:ascii="Arial" w:hAnsi="Arial" w:eastAsia="Arial" w:cs="Arial"/>
      <w:sz w:val="40"/>
      <w:szCs w:val="40"/>
    </w:rPr>
  </w:style>
  <w:style w:type="paragraph" w:styleId="691" w:customStyle="1">
    <w:name w:val="Heading 2"/>
    <w:basedOn w:val="685"/>
    <w:next w:val="685"/>
    <w:link w:val="69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92" w:customStyle="1">
    <w:name w:val="Heading 2 Char"/>
    <w:link w:val="691"/>
    <w:uiPriority w:val="9"/>
    <w:rPr>
      <w:rFonts w:ascii="Arial" w:hAnsi="Arial" w:eastAsia="Arial" w:cs="Arial"/>
      <w:sz w:val="34"/>
    </w:rPr>
  </w:style>
  <w:style w:type="paragraph" w:styleId="693" w:customStyle="1">
    <w:name w:val="Heading 3"/>
    <w:basedOn w:val="685"/>
    <w:next w:val="685"/>
    <w:link w:val="69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94" w:customStyle="1">
    <w:name w:val="Heading 3 Char"/>
    <w:link w:val="693"/>
    <w:uiPriority w:val="9"/>
    <w:rPr>
      <w:rFonts w:ascii="Arial" w:hAnsi="Arial" w:eastAsia="Arial" w:cs="Arial"/>
      <w:sz w:val="30"/>
      <w:szCs w:val="30"/>
    </w:rPr>
  </w:style>
  <w:style w:type="paragraph" w:styleId="695" w:customStyle="1">
    <w:name w:val="Heading 4"/>
    <w:basedOn w:val="685"/>
    <w:next w:val="685"/>
    <w:link w:val="69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4 Char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 w:customStyle="1">
    <w:name w:val="Heading 5"/>
    <w:basedOn w:val="685"/>
    <w:next w:val="685"/>
    <w:link w:val="69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5 Char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 w:customStyle="1">
    <w:name w:val="Heading 6"/>
    <w:basedOn w:val="685"/>
    <w:next w:val="685"/>
    <w:link w:val="70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00" w:customStyle="1">
    <w:name w:val="Heading 6 Char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 w:customStyle="1">
    <w:name w:val="Heading 7"/>
    <w:basedOn w:val="685"/>
    <w:next w:val="685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02" w:customStyle="1">
    <w:name w:val="Heading 7 Char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 w:customStyle="1">
    <w:name w:val="Heading 8"/>
    <w:basedOn w:val="685"/>
    <w:next w:val="685"/>
    <w:link w:val="70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04" w:customStyle="1">
    <w:name w:val="Heading 8 Char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 w:customStyle="1">
    <w:name w:val="Heading 9"/>
    <w:basedOn w:val="685"/>
    <w:next w:val="685"/>
    <w:link w:val="70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customStyle="1">
    <w:name w:val="Heading 9 Char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Title"/>
    <w:basedOn w:val="685"/>
    <w:next w:val="685"/>
    <w:link w:val="708"/>
    <w:uiPriority w:val="10"/>
    <w:qFormat/>
    <w:pPr>
      <w:contextualSpacing/>
      <w:spacing w:before="300"/>
    </w:pPr>
    <w:rPr>
      <w:sz w:val="48"/>
      <w:szCs w:val="48"/>
    </w:rPr>
  </w:style>
  <w:style w:type="character" w:styleId="708" w:customStyle="1">
    <w:name w:val="Название Знак"/>
    <w:link w:val="707"/>
    <w:uiPriority w:val="10"/>
    <w:rPr>
      <w:sz w:val="48"/>
      <w:szCs w:val="48"/>
    </w:rPr>
  </w:style>
  <w:style w:type="paragraph" w:styleId="709">
    <w:name w:val="Subtitle"/>
    <w:basedOn w:val="685"/>
    <w:next w:val="685"/>
    <w:link w:val="710"/>
    <w:uiPriority w:val="11"/>
    <w:qFormat/>
    <w:pPr>
      <w:spacing w:before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85"/>
    <w:next w:val="685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5"/>
    <w:next w:val="685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 w:customStyle="1">
    <w:name w:val="Header"/>
    <w:basedOn w:val="685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 w:customStyle="1">
    <w:name w:val="Header Char"/>
    <w:link w:val="715"/>
    <w:uiPriority w:val="99"/>
  </w:style>
  <w:style w:type="paragraph" w:styleId="717" w:customStyle="1">
    <w:name w:val="Footer"/>
    <w:basedOn w:val="685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Footer Char"/>
    <w:link w:val="717"/>
    <w:uiPriority w:val="99"/>
  </w:style>
  <w:style w:type="paragraph" w:styleId="719" w:customStyle="1">
    <w:name w:val="Caption"/>
    <w:basedOn w:val="685"/>
    <w:next w:val="685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20" w:customStyle="1">
    <w:name w:val="Caption Char"/>
    <w:link w:val="717"/>
    <w:uiPriority w:val="99"/>
  </w:style>
  <w:style w:type="table" w:styleId="721">
    <w:name w:val="Table Grid"/>
    <w:basedOn w:val="6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 w:customStyle="1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1" w:customStyle="1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2" w:customStyle="1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3" w:customStyle="1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4" w:customStyle="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5" w:customStyle="1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6" w:customStyle="1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5" w:customStyle="1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6" w:customStyle="1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7" w:customStyle="1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8" w:customStyle="1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9" w:customStyle="1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0" w:customStyle="1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1" w:customStyle="1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4" w:customStyle="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6" w:customStyle="1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8" w:customStyle="1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9" w:customStyle="1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8" w:customStyle="1">
    <w:name w:val="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9" w:customStyle="1">
    <w:name w:val="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0" w:customStyle="1">
    <w:name w:val="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1" w:customStyle="1">
    <w:name w:val="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2" w:customStyle="1">
    <w:name w:val="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3" w:customStyle="1">
    <w:name w:val="Bordered &amp; 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Bordered &amp; 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Bordered &amp; 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Bordered &amp; 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Bordered &amp; 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Bordered &amp; 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2" w:customStyle="1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3" w:customStyle="1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4" w:customStyle="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5" w:customStyle="1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6" w:customStyle="1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563c1" w:themeColor="hyperlink"/>
      <w:u w:val="single"/>
    </w:rPr>
  </w:style>
  <w:style w:type="paragraph" w:styleId="848">
    <w:name w:val="footnote text"/>
    <w:basedOn w:val="68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8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85"/>
    <w:next w:val="685"/>
    <w:uiPriority w:val="39"/>
    <w:unhideWhenUsed/>
    <w:pPr>
      <w:spacing w:after="57"/>
    </w:pPr>
  </w:style>
  <w:style w:type="paragraph" w:styleId="855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56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57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58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59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60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61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62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5"/>
    <w:next w:val="685"/>
    <w:uiPriority w:val="99"/>
    <w:unhideWhenUsed/>
    <w:pPr>
      <w:spacing w:after="0"/>
    </w:pPr>
  </w:style>
  <w:style w:type="paragraph" w:styleId="865">
    <w:name w:val="No Spacing"/>
    <w:basedOn w:val="685"/>
    <w:uiPriority w:val="1"/>
    <w:qFormat/>
    <w:pPr>
      <w:spacing w:after="0" w:line="240" w:lineRule="auto"/>
    </w:pPr>
  </w:style>
  <w:style w:type="paragraph" w:styleId="866">
    <w:name w:val="List Paragraph"/>
    <w:basedOn w:val="685"/>
    <w:uiPriority w:val="34"/>
    <w:qFormat/>
    <w:pPr>
      <w:contextualSpacing/>
      <w:ind w:left="720"/>
    </w:pPr>
  </w:style>
  <w:style w:type="character" w:styleId="867" w:customStyle="1">
    <w:name w:val="Выделение1"/>
    <w:qFormat/>
    <w:rPr>
      <w:i/>
      <w:iCs/>
    </w:rPr>
  </w:style>
  <w:style w:type="character" w:styleId="868" w:customStyle="1">
    <w:name w:val="Строгий1"/>
    <w:uiPriority w:val="22"/>
    <w:qFormat/>
    <w:rPr>
      <w:b/>
      <w:bCs/>
    </w:rPr>
  </w:style>
  <w:style w:type="paragraph" w:styleId="869" w:customStyle="1">
    <w:name w:val="Стиль Первая строка:  095 см"/>
    <w:uiPriority w:val="99"/>
    <w:pPr>
      <w:ind w:firstLine="540"/>
      <w:jc w:val="both"/>
      <w:spacing w:after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Calibri" w:cs="Mangal"/>
      <w:sz w:val="20"/>
      <w:szCs w:val="24"/>
      <w:lang w:eastAsia="hi-IN" w:bidi="hi-IN"/>
    </w:rPr>
  </w:style>
  <w:style w:type="paragraph" w:styleId="870" w:customStyle="1">
    <w:name w:val="ConsPlusNonformat"/>
    <w:pPr>
      <w:spacing w:after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71" w:customStyle="1">
    <w:name w:val="CharStyle4"/>
    <w:rPr>
      <w:rFonts w:ascii="Times New Roman" w:hAnsi="Times New Roman" w:eastAsia="Times New Roman" w:cs="Times New Roman"/>
      <w:b w:val="0"/>
      <w:bCs w:val="0"/>
      <w:i w:val="0"/>
      <w:iC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paragraph" w:styleId="872" w:customStyle="1">
    <w:name w:val="Обычный (веб)1"/>
    <w:uiPriority w:val="99"/>
    <w:unhideWhenUsed/>
    <w:qFormat/>
    <w:pPr>
      <w:spacing w:beforeAutospacing="1" w:after="119" w:line="240" w:lineRule="auto"/>
      <w:shd w:val="nil" w:color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 w:customStyle="1">
    <w:name w:val="grame"/>
    <w:basedOn w:val="700"/>
    <w:qFormat/>
  </w:style>
  <w:style w:type="paragraph" w:styleId="874" w:customStyle="1">
    <w:name w:val="Основной текст1"/>
    <w:basedOn w:val="699"/>
    <w:qFormat/>
    <w:pPr>
      <w:keepLines w:val="0"/>
      <w:keepNext w:val="0"/>
      <w:spacing w:before="0" w:after="12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ndale Sans UI" w:cs="Tahoma"/>
      <w:b w:val="0"/>
      <w:bCs w:val="0"/>
      <w:sz w:val="24"/>
      <w:szCs w:val="24"/>
      <w:lang w:val="en-US" w:bidi="en-US"/>
    </w:rPr>
  </w:style>
  <w:style w:type="paragraph" w:styleId="875" w:customStyle="1">
    <w:name w:val="Абзац списка1"/>
    <w:basedOn w:val="699"/>
    <w:uiPriority w:val="34"/>
    <w:qFormat/>
    <w:pPr>
      <w:contextualSpacing/>
      <w:ind w:left="720"/>
      <w:keepLines w:val="0"/>
      <w:keepNext w:val="0"/>
      <w:spacing w:before="0" w:after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ndale Sans UI" w:cs="Tahoma"/>
      <w:b w:val="0"/>
      <w:bCs w:val="0"/>
      <w:sz w:val="24"/>
      <w:szCs w:val="24"/>
      <w:lang w:val="en-US" w:eastAsia="hi-IN" w:bidi="en-US"/>
    </w:rPr>
  </w:style>
  <w:style w:type="paragraph" w:styleId="876" w:customStyle="1">
    <w:name w:val="Default"/>
    <w:qFormat/>
    <w:pPr>
      <w:spacing w:after="0" w:line="240" w:lineRule="auto"/>
      <w:shd w:val="nil" w:color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877" w:customStyle="1">
    <w:name w:val="Основной текст + Полужирный"/>
    <w:rPr>
      <w:rFonts w:ascii="Times New Roman" w:hAnsi="Times New Roman" w:eastAsia="Times New Roman" w:cs="Times New Roman"/>
      <w:color w:val="000000"/>
      <w:spacing w:val="0"/>
      <w:sz w:val="26"/>
      <w:szCs w:val="26"/>
      <w:shd w:val="clear" w:color="auto" w:fill="ffffff"/>
      <w:lang w:val="ru-RU" w:eastAsia="ru-RU" w:bidi="ru-RU"/>
    </w:rPr>
  </w:style>
  <w:style w:type="character" w:styleId="878" w:customStyle="1">
    <w:name w:val="Основной текст4"/>
    <w:rPr>
      <w:rFonts w:ascii="Times New Roman" w:hAnsi="Times New Roman" w:eastAsia="Times New Roman" w:cs="Times New Roman"/>
      <w:color w:val="000000"/>
      <w:spacing w:val="0"/>
      <w:sz w:val="26"/>
      <w:szCs w:val="26"/>
      <w:shd w:val="clear" w:color="auto" w:fill="ffffff"/>
      <w:lang w:val="ru-RU" w:eastAsia="ru-RU" w:bidi="ru-RU"/>
    </w:rPr>
  </w:style>
  <w:style w:type="paragraph" w:styleId="879" w:customStyle="1">
    <w:name w:val="ConsPlusNormal"/>
    <w:pPr>
      <w:ind w:firstLine="720"/>
      <w:spacing w:after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color w:val="00000a"/>
      <w:sz w:val="20"/>
      <w:szCs w:val="20"/>
    </w:rPr>
  </w:style>
  <w:style w:type="paragraph" w:styleId="880" w:customStyle="1">
    <w:name w:val="Основной текст2"/>
    <w:pPr>
      <w:spacing w:after="140"/>
      <w:shd w:val="nil" w:color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Liberation Serif" w:hAnsi="Liberation Serif" w:eastAsia="NSimSun" w:cs="Arial Unicode MS"/>
      <w:sz w:val="24"/>
      <w:szCs w:val="24"/>
      <w:lang w:eastAsia="zh-CN" w:bidi="hi-IN"/>
    </w:rPr>
  </w:style>
  <w:style w:type="paragraph" w:styleId="881" w:customStyle="1">
    <w:name w:val="Цитата1"/>
    <w:pPr>
      <w:ind w:left="-567" w:right="-483" w:firstLine="851"/>
      <w:spacing w:after="0" w:line="240" w:lineRule="auto"/>
      <w:shd w:val="nil" w:color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Liberation Serif" w:hAnsi="Liberation Serif" w:eastAsia="NSimSun" w:cs="Arial Unicode MS"/>
      <w:sz w:val="24"/>
      <w:szCs w:val="24"/>
      <w:lang w:eastAsia="zh-CN" w:bidi="hi-IN"/>
    </w:rPr>
  </w:style>
  <w:style w:type="paragraph" w:styleId="882" w:customStyle="1">
    <w:name w:val="Основной текст5"/>
    <w:pPr>
      <w:jc w:val="right"/>
      <w:spacing w:after="840" w:line="32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ndale Sans UI" w:cs="Tahoma"/>
      <w:color w:val="00000a"/>
      <w:sz w:val="26"/>
      <w:szCs w:val="2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created xsi:type="dcterms:W3CDTF">2026-02-05T08:57:00Z</dcterms:created>
  <dcterms:modified xsi:type="dcterms:W3CDTF">2026-02-12T06:22:09Z</dcterms:modified>
</cp:coreProperties>
</file>