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43" w:rsidRDefault="006E6B43">
      <w:pPr>
        <w:pStyle w:val="ConsPlusTitlePage"/>
      </w:pPr>
      <w:bookmarkStart w:id="0" w:name="_GoBack"/>
      <w:bookmarkEnd w:id="0"/>
    </w:p>
    <w:p w:rsidR="006E6B43" w:rsidRDefault="006E6B43">
      <w:pPr>
        <w:pStyle w:val="ConsPlusNormal"/>
        <w:outlineLvl w:val="0"/>
      </w:pPr>
    </w:p>
    <w:p w:rsidR="006E6B43" w:rsidRDefault="006E6B43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6E6B43" w:rsidRDefault="006E6B43">
      <w:pPr>
        <w:pStyle w:val="ConsPlusTitle"/>
        <w:jc w:val="center"/>
      </w:pPr>
    </w:p>
    <w:p w:rsidR="006E6B43" w:rsidRDefault="006E6B43">
      <w:pPr>
        <w:pStyle w:val="ConsPlusTitle"/>
        <w:jc w:val="center"/>
      </w:pPr>
      <w:r>
        <w:t>ПОСТАНОВЛЕНИЕ</w:t>
      </w:r>
    </w:p>
    <w:p w:rsidR="006E6B43" w:rsidRDefault="006E6B43">
      <w:pPr>
        <w:pStyle w:val="ConsPlusTitle"/>
        <w:jc w:val="center"/>
      </w:pPr>
      <w:r>
        <w:t>от 28 сентября 2020 г. N 644</w:t>
      </w:r>
    </w:p>
    <w:p w:rsidR="006E6B43" w:rsidRDefault="006E6B43">
      <w:pPr>
        <w:pStyle w:val="ConsPlusTitle"/>
        <w:jc w:val="center"/>
      </w:pPr>
    </w:p>
    <w:p w:rsidR="006E6B43" w:rsidRDefault="006E6B43">
      <w:pPr>
        <w:pStyle w:val="ConsPlusTitle"/>
        <w:jc w:val="center"/>
      </w:pPr>
      <w:r>
        <w:t xml:space="preserve">ОБ УТВЕРЖДЕНИИ МЕТОДИКИ РАСПРЕДЕЛЕНИЯ МЕЖДУ </w:t>
      </w:r>
      <w:proofErr w:type="gramStart"/>
      <w:r>
        <w:t>МУНИЦИПАЛЬНЫМИ</w:t>
      </w:r>
      <w:proofErr w:type="gramEnd"/>
    </w:p>
    <w:p w:rsidR="006E6B43" w:rsidRDefault="006E6B43">
      <w:pPr>
        <w:pStyle w:val="ConsPlusTitle"/>
        <w:jc w:val="center"/>
      </w:pPr>
      <w:r>
        <w:t>ОБРАЗОВАНИЯМИ ЛЕНИНГРАДСКОЙ ОБЛАСТИ ДОТАЦИЙ (ГРАНТОВ)</w:t>
      </w:r>
    </w:p>
    <w:p w:rsidR="006E6B43" w:rsidRDefault="006E6B43">
      <w:pPr>
        <w:pStyle w:val="ConsPlusTitle"/>
        <w:jc w:val="center"/>
      </w:pPr>
      <w:r>
        <w:t>НА ПООЩРЕНИЕ ДОСТИЖЕНИЯ НАИЛУЧШИХ ЗНАЧЕНИЙ ПОКАЗАТЕЛЕЙ</w:t>
      </w:r>
    </w:p>
    <w:p w:rsidR="006E6B43" w:rsidRDefault="006E6B43">
      <w:pPr>
        <w:pStyle w:val="ConsPlusTitle"/>
        <w:jc w:val="center"/>
      </w:pPr>
      <w:r>
        <w:t>ЭФФЕКТИВНОСТИ ДЕЯТЕЛЬНОСТИ ОРГАНОВ МЕСТНОГО САМОУПРАВЛЕНИЯ</w:t>
      </w:r>
    </w:p>
    <w:p w:rsidR="006E6B43" w:rsidRDefault="006E6B43">
      <w:pPr>
        <w:pStyle w:val="ConsPlusTitle"/>
        <w:jc w:val="center"/>
      </w:pPr>
      <w:r>
        <w:t>МУНИЦИПАЛЬНЫХ РАЙОНОВ, МУНИЦИПАЛЬНОГО ОКРУГА И ГОРОДСКОГО</w:t>
      </w:r>
    </w:p>
    <w:p w:rsidR="006E6B43" w:rsidRDefault="006E6B43">
      <w:pPr>
        <w:pStyle w:val="ConsPlusTitle"/>
        <w:jc w:val="center"/>
      </w:pPr>
      <w:r>
        <w:t>ОКРУГА ЛЕНИНГРАДСКОЙ ОБЛАСТИ И ПРАВИЛ ИХ ПРЕДОСТАВЛЕНИЯ,</w:t>
      </w:r>
    </w:p>
    <w:p w:rsidR="006E6B43" w:rsidRDefault="006E6B43">
      <w:pPr>
        <w:pStyle w:val="ConsPlusTitle"/>
        <w:jc w:val="center"/>
      </w:pPr>
      <w:r>
        <w:t xml:space="preserve">А ТАКЖЕ ПРИЗНАНИИ </w:t>
      </w:r>
      <w:proofErr w:type="gramStart"/>
      <w:r>
        <w:t>УТРАТИВШИМИ</w:t>
      </w:r>
      <w:proofErr w:type="gramEnd"/>
      <w:r>
        <w:t xml:space="preserve"> СИЛУ ОТДЕЛЬНЫХ ПОСТАНОВЛЕНИЙ</w:t>
      </w:r>
    </w:p>
    <w:p w:rsidR="006E6B43" w:rsidRDefault="006E6B43">
      <w:pPr>
        <w:pStyle w:val="ConsPlusTitle"/>
        <w:jc w:val="center"/>
      </w:pPr>
      <w:r>
        <w:t>ПРАВИТЕЛЬСТВА ЛЕНИНГРАДСКОЙ ОБЛАСТИ</w:t>
      </w:r>
    </w:p>
    <w:p w:rsidR="006E6B43" w:rsidRDefault="006E6B4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E6B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B43" w:rsidRDefault="006E6B4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B43" w:rsidRDefault="006E6B4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6B43" w:rsidRDefault="006E6B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6B43" w:rsidRDefault="006E6B4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6E6B43" w:rsidRDefault="006E6B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10.02.2025 </w:t>
            </w:r>
            <w:hyperlink r:id="rId5">
              <w:r>
                <w:rPr>
                  <w:color w:val="0000FF"/>
                </w:rPr>
                <w:t>N 137</w:t>
              </w:r>
            </w:hyperlink>
            <w:r>
              <w:rPr>
                <w:color w:val="392C69"/>
              </w:rPr>
              <w:t xml:space="preserve">, от 05.06.2025 </w:t>
            </w:r>
            <w:hyperlink r:id="rId6">
              <w:r>
                <w:rPr>
                  <w:color w:val="0000FF"/>
                </w:rPr>
                <w:t>N 505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B43" w:rsidRDefault="006E6B43">
            <w:pPr>
              <w:pStyle w:val="ConsPlusNormal"/>
            </w:pPr>
          </w:p>
        </w:tc>
      </w:tr>
    </w:tbl>
    <w:p w:rsidR="006E6B43" w:rsidRDefault="006E6B43">
      <w:pPr>
        <w:pStyle w:val="ConsPlusNormal"/>
      </w:pPr>
    </w:p>
    <w:p w:rsidR="006E6B43" w:rsidRDefault="006E6B43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7">
        <w:r>
          <w:rPr>
            <w:color w:val="0000FF"/>
          </w:rPr>
          <w:t>статьей 138.4</w:t>
        </w:r>
      </w:hyperlink>
      <w:r>
        <w:t xml:space="preserve"> Бюджетного кодекса Российской Федерации, </w:t>
      </w:r>
      <w:hyperlink r:id="rId8">
        <w:r>
          <w:rPr>
            <w:color w:val="0000FF"/>
          </w:rPr>
          <w:t>статьей 7</w:t>
        </w:r>
      </w:hyperlink>
      <w:r>
        <w:t xml:space="preserve"> областного закона от 14 октября 2019 года N 75-оз "О межбюджетных отношениях в Ленинградской области", в целях реализации </w:t>
      </w:r>
      <w:hyperlink r:id="rId9">
        <w:r>
          <w:rPr>
            <w:color w:val="0000FF"/>
          </w:rPr>
          <w:t>Указа</w:t>
        </w:r>
      </w:hyperlink>
      <w:r>
        <w:t xml:space="preserve"> Президента Российской Федерации от 28 апреля 2008 года N 607 "Об оценке эффективности деятельности органов местного самоуправления муниципальных, городских округов и муниципальных районов" Правительство Ленинградской области постановляет:</w:t>
      </w:r>
      <w:proofErr w:type="gramEnd"/>
    </w:p>
    <w:p w:rsidR="006E6B43" w:rsidRDefault="006E6B43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10.02.2025 N 137)</w:t>
      </w:r>
    </w:p>
    <w:p w:rsidR="006E6B43" w:rsidRDefault="006E6B43">
      <w:pPr>
        <w:pStyle w:val="ConsPlusNormal"/>
      </w:pPr>
    </w:p>
    <w:p w:rsidR="006E6B43" w:rsidRDefault="006E6B43">
      <w:pPr>
        <w:pStyle w:val="ConsPlusNormal"/>
        <w:ind w:firstLine="540"/>
        <w:jc w:val="both"/>
      </w:pPr>
      <w:r>
        <w:t xml:space="preserve">1. Утвердить </w:t>
      </w:r>
      <w:hyperlink w:anchor="P51">
        <w:r>
          <w:rPr>
            <w:color w:val="0000FF"/>
          </w:rPr>
          <w:t>Методику</w:t>
        </w:r>
      </w:hyperlink>
      <w:r>
        <w:t xml:space="preserve"> распределения между муниципальными образованиями Ленинградской области дотаций (грантов) на поощрение достижения наилучших значений показателей эффективности деятельности органов местного самоуправления муниципальных районов, муниципального округа и городского округа Ленинградской области и правила их предоставления согласно приложению 1.</w:t>
      </w:r>
    </w:p>
    <w:p w:rsidR="006E6B43" w:rsidRDefault="006E6B43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10.02.2025 N 137)</w:t>
      </w:r>
    </w:p>
    <w:p w:rsidR="006E6B43" w:rsidRDefault="006E6B43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30">
        <w:r>
          <w:rPr>
            <w:color w:val="0000FF"/>
          </w:rPr>
          <w:t>Перечень</w:t>
        </w:r>
      </w:hyperlink>
      <w:r>
        <w:t xml:space="preserve"> показателей, используемых при расчете комплексной оценки эффективности деятельности органов местного самоуправления муниципальных районов, муниципального округа и городского округа Ленинградской области, согласно приложению 2.</w:t>
      </w:r>
    </w:p>
    <w:p w:rsidR="006E6B43" w:rsidRDefault="006E6B43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10.02.2025 N 137)</w:t>
      </w:r>
    </w:p>
    <w:p w:rsidR="006E6B43" w:rsidRDefault="006E6B43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6E6B43" w:rsidRDefault="006E6B43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28 января 2011 года N 13 "О </w:t>
      </w:r>
      <w:proofErr w:type="gramStart"/>
      <w:r>
        <w:t>Порядке</w:t>
      </w:r>
      <w:proofErr w:type="gramEnd"/>
      <w:r>
        <w:t xml:space="preserve"> выделения за счет бюджетных ассигнований из областного бюджета Ленинградской области грантов за достижение наилучших значений показателей эффективности деятельности органов местного самоуправления муниципальных районов и городского округа";</w:t>
      </w:r>
    </w:p>
    <w:p w:rsidR="006E6B43" w:rsidRDefault="006E6B43">
      <w:pPr>
        <w:pStyle w:val="ConsPlusNormal"/>
        <w:spacing w:before="220"/>
        <w:ind w:firstLine="540"/>
        <w:jc w:val="both"/>
      </w:pPr>
      <w:hyperlink r:id="rId14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 декабря 2011 года N 415 "О внесении изменений в постановление Правительства Ленинградской области от 28 января 2011 года N 13 "О Порядке выделения за счет бюджетных ассигнований из областного бюджета Ленинградской области грантов за достижение наилучших значений показателей эффективности деятельности органов местного самоуправления муниципальных районов и городского округа";</w:t>
      </w:r>
      <w:proofErr w:type="gramEnd"/>
    </w:p>
    <w:p w:rsidR="006E6B43" w:rsidRDefault="006E6B43">
      <w:pPr>
        <w:pStyle w:val="ConsPlusNormal"/>
        <w:spacing w:before="220"/>
        <w:ind w:firstLine="540"/>
        <w:jc w:val="both"/>
      </w:pPr>
      <w:hyperlink r:id="rId15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16 мая 2012 года N 160 "О </w:t>
      </w:r>
      <w:r>
        <w:lastRenderedPageBreak/>
        <w:t>внесении изменения в постановление Правительства Ленинградской области от 28 января 2011 года N 13 "О Порядке выделения за счет бюджетных ассигнований из областного бюджета Ленинградской области грантов за достижение наилучших значений показателей эффективности деятельности органов местного самоуправления муниципальных районов и городского округа";</w:t>
      </w:r>
      <w:proofErr w:type="gramEnd"/>
    </w:p>
    <w:p w:rsidR="006E6B43" w:rsidRDefault="006E6B43">
      <w:pPr>
        <w:pStyle w:val="ConsPlusNormal"/>
        <w:spacing w:before="220"/>
        <w:ind w:firstLine="540"/>
        <w:jc w:val="both"/>
      </w:pPr>
      <w:hyperlink r:id="rId16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27 ноября 2014 года N 545 "О внесении изменений в постановление Правительства Ленинградской области от 28 января 2011 года N 13 "О Порядке выделения за счет бюджетных ассигнований из областного бюджета Ленинградской области грантов за достижение наилучших значений показателей эффективности деятельности органов местного самоуправления муниципальных районов и городского округа";</w:t>
      </w:r>
      <w:proofErr w:type="gramEnd"/>
    </w:p>
    <w:p w:rsidR="006E6B43" w:rsidRDefault="006E6B43">
      <w:pPr>
        <w:pStyle w:val="ConsPlusNormal"/>
        <w:spacing w:before="220"/>
        <w:ind w:firstLine="540"/>
        <w:jc w:val="both"/>
      </w:pPr>
      <w:hyperlink r:id="rId17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 августа 2016 года N 280 "О внесении изменений в постановление Правительства Ленинградской области от 28 января 2011 года N 13 "О Порядке выделения за счет бюджетных ассигнований из областного бюджета Ленинградской области грантов за достижение наилучших значений показателей эффективности деятельности органов местного самоуправления муниципальных районов и городского округа";</w:t>
      </w:r>
      <w:proofErr w:type="gramEnd"/>
    </w:p>
    <w:p w:rsidR="006E6B43" w:rsidRDefault="006E6B43">
      <w:pPr>
        <w:pStyle w:val="ConsPlusNormal"/>
        <w:spacing w:before="220"/>
        <w:ind w:firstLine="540"/>
        <w:jc w:val="both"/>
      </w:pPr>
      <w:hyperlink r:id="rId18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27 марта 2017 года N 82 "О внесении изменения в постановление Правительства Ленинградской области от 28 января 2011 года N 13 "О Порядке выделения за счет бюджетных ассигнований из областного бюджета Ленинградской области грантов за достижение наилучших значений показателей эффективности деятельности органов местного самоуправления муниципальных районов и городского округа";</w:t>
      </w:r>
      <w:proofErr w:type="gramEnd"/>
    </w:p>
    <w:p w:rsidR="006E6B43" w:rsidRDefault="006E6B43">
      <w:pPr>
        <w:pStyle w:val="ConsPlusNormal"/>
        <w:spacing w:before="220"/>
        <w:ind w:firstLine="540"/>
        <w:jc w:val="both"/>
      </w:pPr>
      <w:hyperlink r:id="rId19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14 сентября 2017 года N 368 "О внесении изменений в постановление Правительства Ленинградской области от 28 января 2011 года N 13 "О Порядке выделения за счет бюджетных ассигнований из областного бюджета Ленинградской области грантов за достижение наилучших значений показателей эффективности деятельности органов местного самоуправления муниципальных районов и городского округа";</w:t>
      </w:r>
      <w:proofErr w:type="gramEnd"/>
    </w:p>
    <w:p w:rsidR="006E6B43" w:rsidRDefault="006E6B43">
      <w:pPr>
        <w:pStyle w:val="ConsPlusNormal"/>
        <w:spacing w:before="220"/>
        <w:ind w:firstLine="540"/>
        <w:jc w:val="both"/>
      </w:pPr>
      <w:hyperlink r:id="rId20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10 сентября 2018 года N 330 "О внесении изменений в постановление Правительства Ленинградской области от 28 января 2011 года N 13 "О Порядке выделения за счет бюджетных ассигнований из областного бюджета Ленинградской области грантов за достижение наилучших значений показателей эффективности деятельности органов местного самоуправления муниципальных районов и городского округа";</w:t>
      </w:r>
      <w:proofErr w:type="gramEnd"/>
    </w:p>
    <w:p w:rsidR="006E6B43" w:rsidRDefault="006E6B43">
      <w:pPr>
        <w:pStyle w:val="ConsPlusNormal"/>
        <w:spacing w:before="220"/>
        <w:ind w:firstLine="540"/>
        <w:jc w:val="both"/>
      </w:pPr>
      <w:hyperlink r:id="rId2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23 апреля 2019 года N 167 "О внесении изменений в постановление Правительства Ленинградской области от 28 января 2011 года N 13 "О Порядке выделения за счет бюджетных ассигнований из областного бюджета Ленинградской области грантов за достижение наилучших значений показателей эффективности деятельности органов местного самоуправления муниципальных районов и городского округа".</w:t>
      </w:r>
      <w:proofErr w:type="gramEnd"/>
    </w:p>
    <w:p w:rsidR="006E6B43" w:rsidRDefault="006E6B4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вице-губернатора Ленинградской области по внутренней политике.</w:t>
      </w:r>
    </w:p>
    <w:p w:rsidR="006E6B43" w:rsidRDefault="006E6B43">
      <w:pPr>
        <w:pStyle w:val="ConsPlusNormal"/>
      </w:pPr>
    </w:p>
    <w:p w:rsidR="006E6B43" w:rsidRDefault="006E6B43">
      <w:pPr>
        <w:pStyle w:val="ConsPlusNormal"/>
        <w:jc w:val="right"/>
      </w:pPr>
      <w:r>
        <w:t>Губернатор</w:t>
      </w:r>
    </w:p>
    <w:p w:rsidR="006E6B43" w:rsidRDefault="006E6B43">
      <w:pPr>
        <w:pStyle w:val="ConsPlusNormal"/>
        <w:jc w:val="right"/>
      </w:pPr>
      <w:r>
        <w:t>Ленинградской области</w:t>
      </w:r>
    </w:p>
    <w:p w:rsidR="006E6B43" w:rsidRDefault="006E6B43">
      <w:pPr>
        <w:pStyle w:val="ConsPlusNormal"/>
        <w:jc w:val="right"/>
      </w:pPr>
      <w:proofErr w:type="spellStart"/>
      <w:r>
        <w:t>А.Дрозденко</w:t>
      </w:r>
      <w:proofErr w:type="spellEnd"/>
    </w:p>
    <w:p w:rsidR="006E6B43" w:rsidRDefault="006E6B43">
      <w:pPr>
        <w:pStyle w:val="ConsPlusNormal"/>
      </w:pPr>
    </w:p>
    <w:p w:rsidR="006E6B43" w:rsidRDefault="006E6B43">
      <w:pPr>
        <w:pStyle w:val="ConsPlusNormal"/>
      </w:pPr>
    </w:p>
    <w:p w:rsidR="006E6B43" w:rsidRDefault="006E6B43">
      <w:pPr>
        <w:pStyle w:val="ConsPlusNormal"/>
      </w:pPr>
    </w:p>
    <w:p w:rsidR="006E6B43" w:rsidRDefault="006E6B43">
      <w:pPr>
        <w:pStyle w:val="ConsPlusNormal"/>
      </w:pPr>
    </w:p>
    <w:p w:rsidR="006E6B43" w:rsidRDefault="006E6B43">
      <w:pPr>
        <w:pStyle w:val="ConsPlusNormal"/>
      </w:pPr>
    </w:p>
    <w:p w:rsidR="006E6B43" w:rsidRDefault="006E6B43">
      <w:pPr>
        <w:pStyle w:val="ConsPlusNormal"/>
        <w:jc w:val="right"/>
        <w:outlineLvl w:val="0"/>
      </w:pPr>
      <w:r>
        <w:t>УТВЕРЖДЕНА</w:t>
      </w:r>
    </w:p>
    <w:p w:rsidR="006E6B43" w:rsidRDefault="006E6B43">
      <w:pPr>
        <w:pStyle w:val="ConsPlusNormal"/>
        <w:jc w:val="right"/>
      </w:pPr>
      <w:r>
        <w:t>постановлением Правительства</w:t>
      </w:r>
    </w:p>
    <w:p w:rsidR="006E6B43" w:rsidRDefault="006E6B43">
      <w:pPr>
        <w:pStyle w:val="ConsPlusNormal"/>
        <w:jc w:val="right"/>
      </w:pPr>
      <w:r>
        <w:t>Ленинградской области</w:t>
      </w:r>
    </w:p>
    <w:p w:rsidR="006E6B43" w:rsidRDefault="006E6B43">
      <w:pPr>
        <w:pStyle w:val="ConsPlusNormal"/>
        <w:jc w:val="right"/>
      </w:pPr>
      <w:r>
        <w:lastRenderedPageBreak/>
        <w:t>от 28.09.2020 N 644</w:t>
      </w:r>
    </w:p>
    <w:p w:rsidR="006E6B43" w:rsidRDefault="006E6B43">
      <w:pPr>
        <w:pStyle w:val="ConsPlusNormal"/>
        <w:jc w:val="right"/>
      </w:pPr>
      <w:r>
        <w:t>(приложение 1)</w:t>
      </w:r>
    </w:p>
    <w:p w:rsidR="006E6B43" w:rsidRDefault="006E6B43">
      <w:pPr>
        <w:pStyle w:val="ConsPlusNormal"/>
      </w:pPr>
    </w:p>
    <w:p w:rsidR="006E6B43" w:rsidRDefault="006E6B43">
      <w:pPr>
        <w:pStyle w:val="ConsPlusTitle"/>
        <w:jc w:val="center"/>
      </w:pPr>
      <w:bookmarkStart w:id="1" w:name="P51"/>
      <w:bookmarkEnd w:id="1"/>
      <w:r>
        <w:t>МЕТОДИКА</w:t>
      </w:r>
    </w:p>
    <w:p w:rsidR="006E6B43" w:rsidRDefault="006E6B43">
      <w:pPr>
        <w:pStyle w:val="ConsPlusTitle"/>
        <w:jc w:val="center"/>
      </w:pPr>
      <w:r>
        <w:t>РАСПРЕДЕЛЕНИЯ МЕЖДУ МУНИЦИПАЛЬНЫМИ ОБРАЗОВАНИЯМИ</w:t>
      </w:r>
    </w:p>
    <w:p w:rsidR="006E6B43" w:rsidRDefault="006E6B43">
      <w:pPr>
        <w:pStyle w:val="ConsPlusTitle"/>
        <w:jc w:val="center"/>
      </w:pPr>
      <w:r>
        <w:t>ЛЕНИНГРАДСКОЙ ОБЛАСТИ ДОТАЦИЙ (ГРАНТОВ) НА ПООЩРЕНИЕ</w:t>
      </w:r>
    </w:p>
    <w:p w:rsidR="006E6B43" w:rsidRDefault="006E6B43">
      <w:pPr>
        <w:pStyle w:val="ConsPlusTitle"/>
        <w:jc w:val="center"/>
      </w:pPr>
      <w:r>
        <w:t>ДОСТИЖЕНИЯ НАИЛУЧШИХ ЗНАЧЕНИЙ ПОКАЗАТЕЛЕЙ ЭФФЕКТИВНОСТИ</w:t>
      </w:r>
    </w:p>
    <w:p w:rsidR="006E6B43" w:rsidRDefault="006E6B43">
      <w:pPr>
        <w:pStyle w:val="ConsPlusTitle"/>
        <w:jc w:val="center"/>
      </w:pPr>
      <w:r>
        <w:t>ДЕЯТЕЛЬНОСТИ ОРГАНОВ МЕСТНОГО САМОУПРАВЛЕНИЯ МУНИЦИПАЛЬНЫХ</w:t>
      </w:r>
    </w:p>
    <w:p w:rsidR="006E6B43" w:rsidRDefault="006E6B43">
      <w:pPr>
        <w:pStyle w:val="ConsPlusTitle"/>
        <w:jc w:val="center"/>
      </w:pPr>
      <w:r>
        <w:t>РАЙОНОВ, МУНИЦИПАЛЬНОГО ОКРУГА И ГОРОДСКОГО ОКРУГА</w:t>
      </w:r>
    </w:p>
    <w:p w:rsidR="006E6B43" w:rsidRDefault="006E6B43">
      <w:pPr>
        <w:pStyle w:val="ConsPlusTitle"/>
        <w:jc w:val="center"/>
      </w:pPr>
      <w:r>
        <w:t>ЛЕНИНГРАДСКОЙ ОБЛАСТИ И ПРАВИЛА ИХ ПРЕДОСТАВЛЕНИЯ</w:t>
      </w:r>
    </w:p>
    <w:p w:rsidR="006E6B43" w:rsidRDefault="006E6B4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E6B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B43" w:rsidRDefault="006E6B4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B43" w:rsidRDefault="006E6B4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6B43" w:rsidRDefault="006E6B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6B43" w:rsidRDefault="006E6B4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6E6B43" w:rsidRDefault="006E6B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10.02.2025 </w:t>
            </w:r>
            <w:hyperlink r:id="rId22">
              <w:r>
                <w:rPr>
                  <w:color w:val="0000FF"/>
                </w:rPr>
                <w:t>N 137</w:t>
              </w:r>
            </w:hyperlink>
            <w:r>
              <w:rPr>
                <w:color w:val="392C69"/>
              </w:rPr>
              <w:t xml:space="preserve">, от 05.06.2025 </w:t>
            </w:r>
            <w:hyperlink r:id="rId23">
              <w:r>
                <w:rPr>
                  <w:color w:val="0000FF"/>
                </w:rPr>
                <w:t>N 505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B43" w:rsidRDefault="006E6B43">
            <w:pPr>
              <w:pStyle w:val="ConsPlusNormal"/>
            </w:pPr>
          </w:p>
        </w:tc>
      </w:tr>
    </w:tbl>
    <w:p w:rsidR="006E6B43" w:rsidRDefault="006E6B43">
      <w:pPr>
        <w:pStyle w:val="ConsPlusNormal"/>
      </w:pPr>
    </w:p>
    <w:p w:rsidR="006E6B43" w:rsidRDefault="006E6B43">
      <w:pPr>
        <w:pStyle w:val="ConsPlusTitle"/>
        <w:jc w:val="center"/>
        <w:outlineLvl w:val="1"/>
      </w:pPr>
      <w:r>
        <w:t>1. Методика распределения между муниципальными образованиями</w:t>
      </w:r>
    </w:p>
    <w:p w:rsidR="006E6B43" w:rsidRDefault="006E6B43">
      <w:pPr>
        <w:pStyle w:val="ConsPlusTitle"/>
        <w:jc w:val="center"/>
      </w:pPr>
      <w:r>
        <w:t>Ленинградской области дотаций (грантов) на поощрение</w:t>
      </w:r>
    </w:p>
    <w:p w:rsidR="006E6B43" w:rsidRDefault="006E6B43">
      <w:pPr>
        <w:pStyle w:val="ConsPlusTitle"/>
        <w:jc w:val="center"/>
      </w:pPr>
      <w:r>
        <w:t>достижения наилучших значений показателей эффективности</w:t>
      </w:r>
    </w:p>
    <w:p w:rsidR="006E6B43" w:rsidRDefault="006E6B43">
      <w:pPr>
        <w:pStyle w:val="ConsPlusTitle"/>
        <w:jc w:val="center"/>
      </w:pPr>
      <w:r>
        <w:t>деятельности органов местного самоуправления муниципальных</w:t>
      </w:r>
    </w:p>
    <w:p w:rsidR="006E6B43" w:rsidRDefault="006E6B43">
      <w:pPr>
        <w:pStyle w:val="ConsPlusTitle"/>
        <w:jc w:val="center"/>
      </w:pPr>
      <w:r>
        <w:t>районов, муниципального округа и городского округа</w:t>
      </w:r>
    </w:p>
    <w:p w:rsidR="006E6B43" w:rsidRDefault="006E6B43">
      <w:pPr>
        <w:pStyle w:val="ConsPlusTitle"/>
        <w:jc w:val="center"/>
      </w:pPr>
      <w:r>
        <w:t>Ленинградской области</w:t>
      </w:r>
    </w:p>
    <w:p w:rsidR="006E6B43" w:rsidRDefault="006E6B43">
      <w:pPr>
        <w:pStyle w:val="ConsPlusNormal"/>
        <w:jc w:val="center"/>
      </w:pPr>
      <w:proofErr w:type="gramStart"/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</w:t>
      </w:r>
      <w:proofErr w:type="gramEnd"/>
    </w:p>
    <w:p w:rsidR="006E6B43" w:rsidRDefault="006E6B43">
      <w:pPr>
        <w:pStyle w:val="ConsPlusNormal"/>
        <w:jc w:val="center"/>
      </w:pPr>
      <w:r>
        <w:t>от 10.02.2025 N 137)</w:t>
      </w:r>
    </w:p>
    <w:p w:rsidR="006E6B43" w:rsidRDefault="006E6B43">
      <w:pPr>
        <w:pStyle w:val="ConsPlusNormal"/>
      </w:pPr>
    </w:p>
    <w:p w:rsidR="006E6B43" w:rsidRDefault="006E6B43">
      <w:pPr>
        <w:pStyle w:val="ConsPlusNormal"/>
        <w:ind w:firstLine="540"/>
        <w:jc w:val="both"/>
      </w:pPr>
      <w:r>
        <w:t>1.1. Дотации (гранты) на поощрение достижения наилучших значений показателей эффективности деятельности органов местного самоуправления муниципальных районов, муниципального округа и городского округа Ленинградской области (далее - дотации) предоставляются в целях стимулирования повышения качества муниципального управления на территории Ленинградской области.</w:t>
      </w:r>
    </w:p>
    <w:p w:rsidR="006E6B43" w:rsidRDefault="006E6B43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10.02.2025 N 137)</w:t>
      </w:r>
    </w:p>
    <w:p w:rsidR="006E6B43" w:rsidRDefault="006E6B43">
      <w:pPr>
        <w:pStyle w:val="ConsPlusNormal"/>
        <w:spacing w:before="220"/>
        <w:ind w:firstLine="540"/>
        <w:jc w:val="both"/>
      </w:pPr>
      <w:r>
        <w:t>1.2. Распределение дотации осуществляется на основании результатов комплексной оценки эффективности деятельности органов местного самоуправления муниципальных районов, муниципального округа и городского округа Ленинградской области (далее - комплексная оценка).</w:t>
      </w:r>
    </w:p>
    <w:p w:rsidR="006E6B43" w:rsidRDefault="006E6B43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10.02.2025 N 137)</w:t>
      </w:r>
    </w:p>
    <w:p w:rsidR="006E6B43" w:rsidRDefault="006E6B43">
      <w:pPr>
        <w:pStyle w:val="ConsPlusNormal"/>
        <w:spacing w:before="220"/>
        <w:ind w:firstLine="540"/>
        <w:jc w:val="both"/>
      </w:pPr>
      <w:r>
        <w:t xml:space="preserve">1.3. Комплексная оценка рассчитывается комитетом по местному самоуправлению, межнациональным и межконфессиональным отношениям Ленинградской области (далее - Комитет) в соответствии с </w:t>
      </w:r>
      <w:hyperlink r:id="rId27">
        <w:r>
          <w:rPr>
            <w:color w:val="0000FF"/>
          </w:rPr>
          <w:t>пунктами 7</w:t>
        </w:r>
      </w:hyperlink>
      <w:r>
        <w:t xml:space="preserve"> - </w:t>
      </w:r>
      <w:hyperlink r:id="rId28">
        <w:r>
          <w:rPr>
            <w:color w:val="0000FF"/>
          </w:rPr>
          <w:t>12 раздела II</w:t>
        </w:r>
      </w:hyperlink>
      <w:r>
        <w:t xml:space="preserve"> "Оценка эффективности деятельности органов местного самоуправления" методических рекомендаций о выделении за счет бюджетных ассигнований из бюджета субъекта Российской Федерации грантов муниципальным образованиям в целях содействия достижению </w:t>
      </w:r>
      <w:proofErr w:type="gramStart"/>
      <w:r>
        <w:t>и(</w:t>
      </w:r>
      <w:proofErr w:type="gramEnd"/>
      <w:r>
        <w:t xml:space="preserve">или) поощрения достижения наилучших значений показателей деятельности органов местного самоуправления </w:t>
      </w:r>
      <w:proofErr w:type="gramStart"/>
      <w:r>
        <w:t>муниципальных, городских округов и муниципальных районов, утвержденных постановлением Правительства Российской Федерации от 17 декабря 2012 года N 1317 "О мерах по реализации Указа Президента Российской Федерации от 28 апреля 2008 года N 607 "Об оценке эффективности деятельности органов местного самоуправления муниципальных, городских округов и муниципальных районов" и подпункта "и" пункта 2 Указа Президента Российской Федерации от 7 мая 2012 года</w:t>
      </w:r>
      <w:proofErr w:type="gramEnd"/>
      <w:r>
        <w:t xml:space="preserve"> N 601 "Об основных направлениях совершенствования системы государственного управления", по Перечню показателей, используемых при расчете комплексной оценки эффективности деятельности органов местного самоуправления муниципальных районов, муниципального округа и городского округа Ленинградской области, утвержденному настоящим постановлением </w:t>
      </w:r>
      <w:r>
        <w:lastRenderedPageBreak/>
        <w:t>(далее - Перечень).</w:t>
      </w:r>
    </w:p>
    <w:p w:rsidR="006E6B43" w:rsidRDefault="006E6B43">
      <w:pPr>
        <w:pStyle w:val="ConsPlusNormal"/>
        <w:spacing w:before="220"/>
        <w:ind w:firstLine="540"/>
        <w:jc w:val="both"/>
      </w:pPr>
      <w:proofErr w:type="gramStart"/>
      <w:r>
        <w:t xml:space="preserve">Формирование результатов комплексной оценки осуществляется посредством автоматизированной информационной системы сбора оперативных данных Ленинградской области (далее - АИС "СБОР"), которая в соответствии с </w:t>
      </w:r>
      <w:hyperlink r:id="rId29">
        <w:r>
          <w:rPr>
            <w:color w:val="0000FF"/>
          </w:rPr>
          <w:t>Порядком</w:t>
        </w:r>
      </w:hyperlink>
      <w:r>
        <w:t xml:space="preserve"> взаимодействия органов исполнительной власти Ленинградской области при подготовке сводного доклада Ленинградской области о результатах мониторинга эффективности деятельности органов местного самоуправления муниципальных районов, муниципального округа и городского округа, утвержденным постановлением Правительства Ленинградской области от 6 августа 2013 года N</w:t>
      </w:r>
      <w:proofErr w:type="gramEnd"/>
      <w:r>
        <w:t xml:space="preserve"> 240, используется в </w:t>
      </w:r>
      <w:proofErr w:type="gramStart"/>
      <w:r>
        <w:t>целях</w:t>
      </w:r>
      <w:proofErr w:type="gramEnd"/>
      <w:r>
        <w:t xml:space="preserve"> автоматизации процессов сбора, обработки, хранения данных по показателям эффективности деятельности органов местного самоуправления муниципальных районов, муниципального округа и городского округа Ленинградской области, а также расчетов комплексной оценки.</w:t>
      </w:r>
    </w:p>
    <w:p w:rsidR="006E6B43" w:rsidRDefault="006E6B43">
      <w:pPr>
        <w:pStyle w:val="ConsPlusNormal"/>
        <w:jc w:val="both"/>
      </w:pPr>
      <w:r>
        <w:t xml:space="preserve">(п. 1.3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10.02.2025 N 137)</w:t>
      </w:r>
    </w:p>
    <w:p w:rsidR="006E6B43" w:rsidRDefault="006E6B43">
      <w:pPr>
        <w:pStyle w:val="ConsPlusNormal"/>
        <w:spacing w:before="220"/>
        <w:ind w:firstLine="540"/>
        <w:jc w:val="both"/>
      </w:pPr>
      <w:r>
        <w:t>1.4. Дотации выделяются муниципальным образованиям Ленинградской области по группам:</w:t>
      </w:r>
    </w:p>
    <w:p w:rsidR="006E6B43" w:rsidRDefault="006E6B43">
      <w:pPr>
        <w:pStyle w:val="ConsPlusNormal"/>
        <w:spacing w:before="220"/>
        <w:ind w:firstLine="540"/>
        <w:jc w:val="both"/>
      </w:pPr>
      <w:r>
        <w:t>пяти муниципальным образованиям Ленинградской области из числа муниципальных районов, муниципального округа и городского округа, которые имеют за отчетный год наилучшие результаты комплексной оценки по показателям эффективности деятельности органов местного самоуправления, закрепленных в Перечне (I группа);</w:t>
      </w:r>
    </w:p>
    <w:p w:rsidR="006E6B43" w:rsidRDefault="006E6B43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10.02.2025 N 137)</w:t>
      </w:r>
    </w:p>
    <w:p w:rsidR="006E6B43" w:rsidRDefault="006E6B43">
      <w:pPr>
        <w:pStyle w:val="ConsPlusNormal"/>
        <w:spacing w:before="220"/>
        <w:ind w:firstLine="540"/>
        <w:jc w:val="both"/>
      </w:pPr>
      <w:r>
        <w:t xml:space="preserve">двум муниципальным образованиям Ленинградской области из числа муниципальных районов, муниципального округа и городского округа, которые имеют за отчетный год наибольшее среднее арифметическое значение среднего темпа роста показателей эффективности деятельности органов местного самоуправления, указанных в </w:t>
      </w:r>
      <w:hyperlink w:anchor="P139">
        <w:r>
          <w:rPr>
            <w:color w:val="0000FF"/>
          </w:rPr>
          <w:t>пунктах 1</w:t>
        </w:r>
      </w:hyperlink>
      <w:r>
        <w:t xml:space="preserve">, </w:t>
      </w:r>
      <w:hyperlink w:anchor="P141">
        <w:r>
          <w:rPr>
            <w:color w:val="0000FF"/>
          </w:rPr>
          <w:t>3</w:t>
        </w:r>
      </w:hyperlink>
      <w:r>
        <w:t xml:space="preserve">, </w:t>
      </w:r>
      <w:hyperlink w:anchor="P142">
        <w:r>
          <w:rPr>
            <w:color w:val="0000FF"/>
          </w:rPr>
          <w:t>4</w:t>
        </w:r>
      </w:hyperlink>
      <w:r>
        <w:t xml:space="preserve"> и </w:t>
      </w:r>
      <w:hyperlink w:anchor="P148">
        <w:r>
          <w:rPr>
            <w:color w:val="0000FF"/>
          </w:rPr>
          <w:t>9</w:t>
        </w:r>
      </w:hyperlink>
      <w:r>
        <w:t xml:space="preserve"> Перечня (далее - среднее арифметическое значение среднего темпа роста) (II группа).</w:t>
      </w:r>
    </w:p>
    <w:p w:rsidR="006E6B43" w:rsidRDefault="006E6B43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10.02.2025 N 137)</w:t>
      </w:r>
    </w:p>
    <w:p w:rsidR="006E6B43" w:rsidRDefault="006E6B43">
      <w:pPr>
        <w:pStyle w:val="ConsPlusNormal"/>
        <w:spacing w:before="220"/>
        <w:ind w:firstLine="540"/>
        <w:jc w:val="both"/>
      </w:pPr>
      <w:r>
        <w:t>В случае если муниципальное образование одновременно становится получателем дотации в I и II группах, дотация данному муниципальному образованию предоставляется в I группе, во II группе дотация предоставляется следующему, идущему по порядку муниципальному образованию в соответствии со средним арифметическим значением среднего темпа роста.</w:t>
      </w:r>
    </w:p>
    <w:p w:rsidR="006E6B43" w:rsidRDefault="006E6B43">
      <w:pPr>
        <w:pStyle w:val="ConsPlusNormal"/>
        <w:spacing w:before="220"/>
        <w:ind w:firstLine="540"/>
        <w:jc w:val="both"/>
      </w:pPr>
      <w:r>
        <w:t>1.5. Размер дотации для муниципальных образований I группы рассчитывается по формуле:</w:t>
      </w:r>
    </w:p>
    <w:p w:rsidR="006E6B43" w:rsidRDefault="006E6B43">
      <w:pPr>
        <w:pStyle w:val="ConsPlusNormal"/>
      </w:pPr>
    </w:p>
    <w:p w:rsidR="006E6B43" w:rsidRDefault="006E6B43">
      <w:pPr>
        <w:pStyle w:val="ConsPlusNormal"/>
        <w:jc w:val="center"/>
      </w:pPr>
      <w:r>
        <w:rPr>
          <w:noProof/>
          <w:position w:val="-113"/>
        </w:rPr>
        <w:drawing>
          <wp:inline distT="0" distB="0" distL="0" distR="0">
            <wp:extent cx="1802130" cy="15824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B43" w:rsidRDefault="006E6B43">
      <w:pPr>
        <w:pStyle w:val="ConsPlusNormal"/>
      </w:pPr>
    </w:p>
    <w:p w:rsidR="006E6B43" w:rsidRDefault="006E6B43">
      <w:pPr>
        <w:pStyle w:val="ConsPlusNormal"/>
        <w:ind w:firstLine="540"/>
        <w:jc w:val="both"/>
      </w:pPr>
      <w:r>
        <w:t>где:</w:t>
      </w:r>
    </w:p>
    <w:p w:rsidR="006E6B43" w:rsidRDefault="006E6B43">
      <w:pPr>
        <w:pStyle w:val="ConsPlusNormal"/>
        <w:spacing w:before="220"/>
        <w:ind w:firstLine="540"/>
        <w:jc w:val="both"/>
      </w:pPr>
      <w:proofErr w:type="spellStart"/>
      <w:r>
        <w:t>Г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дотация i-</w:t>
      </w:r>
      <w:proofErr w:type="spellStart"/>
      <w:r>
        <w:t>му</w:t>
      </w:r>
      <w:proofErr w:type="spellEnd"/>
      <w:r>
        <w:t xml:space="preserve"> муниципальному образованию I группы, претендующему на получение дотации;</w:t>
      </w:r>
    </w:p>
    <w:p w:rsidR="006E6B43" w:rsidRDefault="006E6B43">
      <w:pPr>
        <w:pStyle w:val="ConsPlusNormal"/>
        <w:spacing w:before="220"/>
        <w:ind w:firstLine="540"/>
        <w:jc w:val="both"/>
      </w:pPr>
      <w:proofErr w:type="spellStart"/>
      <w:r>
        <w:t>К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значение комплексной оценки i-</w:t>
      </w:r>
      <w:proofErr w:type="spellStart"/>
      <w:r>
        <w:t>го</w:t>
      </w:r>
      <w:proofErr w:type="spellEnd"/>
      <w:r>
        <w:t xml:space="preserve"> муниципального образования I группы - претендента на получение дотации;</w:t>
      </w:r>
    </w:p>
    <w:p w:rsidR="006E6B43" w:rsidRDefault="006E6B43">
      <w:pPr>
        <w:pStyle w:val="ConsPlusNormal"/>
        <w:spacing w:before="220"/>
        <w:ind w:firstLine="540"/>
        <w:jc w:val="both"/>
      </w:pPr>
      <w:r>
        <w:lastRenderedPageBreak/>
        <w:t>N - общее количество муниципальных образований;</w:t>
      </w:r>
    </w:p>
    <w:p w:rsidR="006E6B43" w:rsidRDefault="006E6B43">
      <w:pPr>
        <w:pStyle w:val="ConsPlusNormal"/>
        <w:spacing w:before="220"/>
        <w:ind w:firstLine="540"/>
        <w:jc w:val="both"/>
      </w:pPr>
      <w:r>
        <w:t>М - число муниципальных образований - получателей дотации I группы;</w:t>
      </w:r>
    </w:p>
    <w:p w:rsidR="006E6B43" w:rsidRDefault="006E6B43">
      <w:pPr>
        <w:pStyle w:val="ConsPlusNormal"/>
        <w:spacing w:before="220"/>
        <w:ind w:firstLine="540"/>
        <w:jc w:val="both"/>
      </w:pPr>
      <w:proofErr w:type="spellStart"/>
      <w:r>
        <w:t>Г</w:t>
      </w:r>
      <w:r>
        <w:rPr>
          <w:vertAlign w:val="subscript"/>
        </w:rPr>
        <w:t>о</w:t>
      </w:r>
      <w:proofErr w:type="spellEnd"/>
      <w:r>
        <w:t xml:space="preserve"> - общий объем распределяемых дотаций для I группы, который составляет 90 процентов от суммы дотации, предусмотренной в областном законе об областном бюджете Ленинградской области на соответствующий год.</w:t>
      </w:r>
    </w:p>
    <w:p w:rsidR="006E6B43" w:rsidRDefault="006E6B43">
      <w:pPr>
        <w:pStyle w:val="ConsPlusNormal"/>
      </w:pPr>
    </w:p>
    <w:p w:rsidR="006E6B43" w:rsidRDefault="006E6B43">
      <w:pPr>
        <w:pStyle w:val="ConsPlusNormal"/>
        <w:ind w:firstLine="540"/>
        <w:jc w:val="both"/>
      </w:pPr>
      <w:r>
        <w:t>1.6. Размер дотации для муниципальных образований II группы рассчитывается по формуле:</w:t>
      </w:r>
    </w:p>
    <w:p w:rsidR="006E6B43" w:rsidRDefault="006E6B43">
      <w:pPr>
        <w:pStyle w:val="ConsPlusNormal"/>
      </w:pPr>
    </w:p>
    <w:p w:rsidR="006E6B43" w:rsidRDefault="006E6B43">
      <w:pPr>
        <w:pStyle w:val="ConsPlusNormal"/>
        <w:jc w:val="center"/>
      </w:pPr>
      <w:r>
        <w:rPr>
          <w:noProof/>
          <w:position w:val="-45"/>
        </w:rPr>
        <w:drawing>
          <wp:inline distT="0" distB="0" distL="0" distR="0">
            <wp:extent cx="1330960" cy="72326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B43" w:rsidRDefault="006E6B43">
      <w:pPr>
        <w:pStyle w:val="ConsPlusNormal"/>
      </w:pPr>
    </w:p>
    <w:p w:rsidR="006E6B43" w:rsidRDefault="006E6B43">
      <w:pPr>
        <w:pStyle w:val="ConsPlusNormal"/>
        <w:ind w:firstLine="540"/>
        <w:jc w:val="both"/>
      </w:pPr>
      <w:r>
        <w:t>где:</w:t>
      </w:r>
    </w:p>
    <w:p w:rsidR="006E6B43" w:rsidRDefault="006E6B43">
      <w:pPr>
        <w:pStyle w:val="ConsPlusNormal"/>
        <w:spacing w:before="220"/>
        <w:ind w:firstLine="540"/>
        <w:jc w:val="both"/>
      </w:pPr>
      <w:proofErr w:type="spellStart"/>
      <w:r>
        <w:t>Г</w:t>
      </w:r>
      <w:proofErr w:type="gramStart"/>
      <w:r>
        <w:rPr>
          <w:vertAlign w:val="subscript"/>
        </w:rPr>
        <w:t>j</w:t>
      </w:r>
      <w:proofErr w:type="spellEnd"/>
      <w:proofErr w:type="gramEnd"/>
      <w:r>
        <w:t xml:space="preserve"> - размер дотации j-</w:t>
      </w:r>
      <w:proofErr w:type="spellStart"/>
      <w:r>
        <w:t>му</w:t>
      </w:r>
      <w:proofErr w:type="spellEnd"/>
      <w:r>
        <w:t xml:space="preserve"> муниципальному образованию II группы, претендующему на получение дотации;</w:t>
      </w:r>
    </w:p>
    <w:p w:rsidR="006E6B43" w:rsidRDefault="006E6B43">
      <w:pPr>
        <w:pStyle w:val="ConsPlusNormal"/>
        <w:spacing w:before="220"/>
        <w:ind w:firstLine="540"/>
        <w:jc w:val="both"/>
      </w:pPr>
      <w:proofErr w:type="spellStart"/>
      <w:r>
        <w:t>Т</w:t>
      </w:r>
      <w:r>
        <w:rPr>
          <w:vertAlign w:val="subscript"/>
        </w:rPr>
        <w:t>ср.ар.j</w:t>
      </w:r>
      <w:proofErr w:type="spellEnd"/>
      <w:r>
        <w:t xml:space="preserve"> - среднее арифметическое значение среднего темпа роста показателей эффективности деятельности органов местного самоуправления, указанных в </w:t>
      </w:r>
      <w:hyperlink w:anchor="P139">
        <w:r>
          <w:rPr>
            <w:color w:val="0000FF"/>
          </w:rPr>
          <w:t>пунктах 1</w:t>
        </w:r>
      </w:hyperlink>
      <w:r>
        <w:t xml:space="preserve">, </w:t>
      </w:r>
      <w:hyperlink w:anchor="P141">
        <w:r>
          <w:rPr>
            <w:color w:val="0000FF"/>
          </w:rPr>
          <w:t>3</w:t>
        </w:r>
      </w:hyperlink>
      <w:r>
        <w:t xml:space="preserve">, </w:t>
      </w:r>
      <w:hyperlink w:anchor="P142">
        <w:r>
          <w:rPr>
            <w:color w:val="0000FF"/>
          </w:rPr>
          <w:t>4</w:t>
        </w:r>
      </w:hyperlink>
      <w:r>
        <w:t xml:space="preserve"> и </w:t>
      </w:r>
      <w:hyperlink w:anchor="P148">
        <w:r>
          <w:rPr>
            <w:color w:val="0000FF"/>
          </w:rPr>
          <w:t>9</w:t>
        </w:r>
      </w:hyperlink>
      <w:r>
        <w:t xml:space="preserve"> Перечня, j-</w:t>
      </w:r>
      <w:proofErr w:type="spellStart"/>
      <w:r>
        <w:t>го</w:t>
      </w:r>
      <w:proofErr w:type="spellEnd"/>
      <w:r>
        <w:t xml:space="preserve"> муниципального образования II группы - претендента на получение дотации.</w:t>
      </w:r>
    </w:p>
    <w:p w:rsidR="006E6B43" w:rsidRDefault="006E6B43">
      <w:pPr>
        <w:pStyle w:val="ConsPlusNormal"/>
        <w:spacing w:before="220"/>
        <w:ind w:firstLine="540"/>
        <w:jc w:val="both"/>
      </w:pPr>
      <w:r>
        <w:t xml:space="preserve">По показателю, указанному в </w:t>
      </w:r>
      <w:hyperlink w:anchor="P142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4</w:t>
        </w:r>
      </w:hyperlink>
      <w:r>
        <w:t xml:space="preserve"> Перечня, в расчет включается значение, соответствующее разности единицы и среднего темпа роста показателя (1 - </w:t>
      </w:r>
      <w:proofErr w:type="spellStart"/>
      <w:r>
        <w:t>Т</w:t>
      </w:r>
      <w:r>
        <w:rPr>
          <w:vertAlign w:val="subscript"/>
        </w:rPr>
        <w:t>j</w:t>
      </w:r>
      <w:proofErr w:type="spellEnd"/>
      <w:r>
        <w:t>), учитывая отрицательную направленность показателя;</w:t>
      </w:r>
    </w:p>
    <w:p w:rsidR="006E6B43" w:rsidRDefault="006E6B43">
      <w:pPr>
        <w:pStyle w:val="ConsPlusNormal"/>
        <w:spacing w:before="220"/>
        <w:ind w:firstLine="540"/>
        <w:jc w:val="both"/>
      </w:pPr>
      <w:r>
        <w:t>М - число муниципальных образований - получателей дотации II группы;</w:t>
      </w:r>
    </w:p>
    <w:p w:rsidR="006E6B43" w:rsidRDefault="006E6B43">
      <w:pPr>
        <w:pStyle w:val="ConsPlusNormal"/>
        <w:spacing w:before="220"/>
        <w:ind w:firstLine="540"/>
        <w:jc w:val="both"/>
      </w:pPr>
      <w:proofErr w:type="spellStart"/>
      <w:r>
        <w:t>Г</w:t>
      </w:r>
      <w:r>
        <w:rPr>
          <w:vertAlign w:val="subscript"/>
        </w:rPr>
        <w:t>о</w:t>
      </w:r>
      <w:proofErr w:type="spellEnd"/>
      <w:r>
        <w:t>' - общий объем распределяемых дотаций для II группы, который составляет 10 процентов от суммы дотации, предусмотренной в областном законе об областном бюджете Ленинградской области на соответствующий год.</w:t>
      </w:r>
    </w:p>
    <w:p w:rsidR="006E6B43" w:rsidRDefault="006E6B43">
      <w:pPr>
        <w:pStyle w:val="ConsPlusNormal"/>
      </w:pPr>
    </w:p>
    <w:p w:rsidR="006E6B43" w:rsidRDefault="006E6B43">
      <w:pPr>
        <w:pStyle w:val="ConsPlusTitle"/>
        <w:jc w:val="center"/>
        <w:outlineLvl w:val="1"/>
      </w:pPr>
      <w:r>
        <w:t>2. Правила предоставления дотаций</w:t>
      </w:r>
    </w:p>
    <w:p w:rsidR="006E6B43" w:rsidRDefault="006E6B43">
      <w:pPr>
        <w:pStyle w:val="ConsPlusNormal"/>
      </w:pPr>
    </w:p>
    <w:p w:rsidR="006E6B43" w:rsidRDefault="006E6B43">
      <w:pPr>
        <w:pStyle w:val="ConsPlusNormal"/>
        <w:ind w:firstLine="540"/>
        <w:jc w:val="both"/>
      </w:pPr>
      <w:r>
        <w:t xml:space="preserve">2.1. </w:t>
      </w:r>
      <w:proofErr w:type="gramStart"/>
      <w:r>
        <w:t>Предоставление дотаций осуществляется в соответствии со сводной бюджетной росписью областного бюджета Ленинградской области на текущий финансовый год и на плановый период в пределах бюджетных ассигнований и лимитов бюджетных обязательств, предусмотренных в установленном порядке главному распорядителю бюджетных средств - Комитету.</w:t>
      </w:r>
      <w:proofErr w:type="gramEnd"/>
    </w:p>
    <w:p w:rsidR="006E6B43" w:rsidRDefault="006E6B43">
      <w:pPr>
        <w:pStyle w:val="ConsPlusNormal"/>
        <w:spacing w:before="220"/>
        <w:ind w:firstLine="540"/>
        <w:jc w:val="both"/>
      </w:pPr>
      <w:r>
        <w:t>2.2. Проект распоряжения Правительства Ленинградской области о распределении дотаций подготавливается Комитетом в течение 15 рабочих дней с даты утверждения сводного доклада Ленинградской области о результатах мониторинга эффективности деятельности органов местного самоуправления муниципальных районов, муниципального округа и городского округа.</w:t>
      </w:r>
    </w:p>
    <w:p w:rsidR="006E6B43" w:rsidRDefault="006E6B43">
      <w:pPr>
        <w:pStyle w:val="ConsPlusNormal"/>
        <w:jc w:val="both"/>
      </w:pPr>
      <w:r>
        <w:t xml:space="preserve">(в ред. Постановлений Правительства Ленинградской области от 10.02.2025 </w:t>
      </w:r>
      <w:hyperlink r:id="rId35">
        <w:r>
          <w:rPr>
            <w:color w:val="0000FF"/>
          </w:rPr>
          <w:t>N 137</w:t>
        </w:r>
      </w:hyperlink>
      <w:r>
        <w:t xml:space="preserve">, от 05.06.2025 </w:t>
      </w:r>
      <w:hyperlink r:id="rId36">
        <w:r>
          <w:rPr>
            <w:color w:val="0000FF"/>
          </w:rPr>
          <w:t>N 505</w:t>
        </w:r>
      </w:hyperlink>
      <w:r>
        <w:t>)</w:t>
      </w:r>
    </w:p>
    <w:p w:rsidR="006E6B43" w:rsidRDefault="006E6B43">
      <w:pPr>
        <w:pStyle w:val="ConsPlusNormal"/>
        <w:spacing w:before="220"/>
        <w:ind w:firstLine="540"/>
        <w:jc w:val="both"/>
      </w:pPr>
      <w:r>
        <w:t>В 2020 году проект распоряжения Правительства Ленинградской области о распределении дотаций подготавливается Комитетом до 20 ноября 2020 года.</w:t>
      </w:r>
    </w:p>
    <w:p w:rsidR="006E6B43" w:rsidRDefault="006E6B43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05.06.2025 N 505)</w:t>
      </w:r>
    </w:p>
    <w:p w:rsidR="006E6B43" w:rsidRDefault="006E6B43">
      <w:pPr>
        <w:pStyle w:val="ConsPlusNormal"/>
        <w:spacing w:before="220"/>
        <w:ind w:firstLine="540"/>
        <w:jc w:val="both"/>
      </w:pPr>
      <w:r>
        <w:t xml:space="preserve">2.3. Перечисление дотаций осуществляется Комитетом на счета, открытые территориальным органом Федерального казначейства для учета поступлений и их распределения между </w:t>
      </w:r>
      <w:r>
        <w:lastRenderedPageBreak/>
        <w:t>бюджетами бюджетной системы Российской Федерации, для последующего перечисления в установленном законодательством порядке в бюджеты муниципальных образований в течение 15 рабочих дней с даты принятия распоряжения Правительства Ленинградской области о распределении дотаций.</w:t>
      </w:r>
    </w:p>
    <w:p w:rsidR="006E6B43" w:rsidRDefault="006E6B43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05.06.2025 N 505)</w:t>
      </w:r>
    </w:p>
    <w:p w:rsidR="006E6B43" w:rsidRDefault="006E6B43">
      <w:pPr>
        <w:pStyle w:val="ConsPlusNormal"/>
        <w:spacing w:before="220"/>
        <w:ind w:firstLine="540"/>
        <w:jc w:val="both"/>
      </w:pPr>
      <w:r>
        <w:t>2.4. Информация о предоставлении дотаций и их размерах направляется Комитетом в Министерство экономического развития Российской Федерации в течение 14 календарных дней со дня вступления в силу распоряжения Правительства Ленинградской области о распределении дотаций.</w:t>
      </w:r>
    </w:p>
    <w:p w:rsidR="006E6B43" w:rsidRDefault="006E6B43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05.06.2025 N 505)</w:t>
      </w:r>
    </w:p>
    <w:p w:rsidR="006E6B43" w:rsidRDefault="006E6B43">
      <w:pPr>
        <w:pStyle w:val="ConsPlusNormal"/>
        <w:spacing w:before="220"/>
        <w:ind w:firstLine="540"/>
        <w:jc w:val="both"/>
      </w:pPr>
      <w:r>
        <w:t>2.5. Дотации, предоставляемые муниципальным образованиям, подлежат использованию в целях решения вопросов местного значения, при этом не допускается их направление на оплату труда (включая поощрения) лиц, замещающих выборные муниципальные должности, муниципальных служащих и работников муниципальных учреждений.</w:t>
      </w:r>
    </w:p>
    <w:p w:rsidR="006E6B43" w:rsidRDefault="006E6B43">
      <w:pPr>
        <w:pStyle w:val="ConsPlusNormal"/>
        <w:jc w:val="both"/>
      </w:pPr>
      <w:r>
        <w:t xml:space="preserve">(п. 2.5 </w:t>
      </w:r>
      <w:proofErr w:type="gramStart"/>
      <w:r>
        <w:t>введен</w:t>
      </w:r>
      <w:proofErr w:type="gramEnd"/>
      <w:r>
        <w:t xml:space="preserve">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10.02.2025 N 137)</w:t>
      </w:r>
    </w:p>
    <w:p w:rsidR="006E6B43" w:rsidRDefault="006E6B43">
      <w:pPr>
        <w:pStyle w:val="ConsPlusNormal"/>
      </w:pPr>
    </w:p>
    <w:p w:rsidR="006E6B43" w:rsidRDefault="006E6B43">
      <w:pPr>
        <w:pStyle w:val="ConsPlusNormal"/>
      </w:pPr>
    </w:p>
    <w:p w:rsidR="006E6B43" w:rsidRDefault="006E6B43">
      <w:pPr>
        <w:pStyle w:val="ConsPlusNormal"/>
      </w:pPr>
    </w:p>
    <w:p w:rsidR="006E6B43" w:rsidRDefault="006E6B43">
      <w:pPr>
        <w:pStyle w:val="ConsPlusNormal"/>
      </w:pPr>
    </w:p>
    <w:p w:rsidR="006E6B43" w:rsidRDefault="006E6B43">
      <w:pPr>
        <w:pStyle w:val="ConsPlusNormal"/>
      </w:pPr>
    </w:p>
    <w:p w:rsidR="006E6B43" w:rsidRDefault="006E6B43">
      <w:pPr>
        <w:pStyle w:val="ConsPlusNormal"/>
        <w:jc w:val="right"/>
        <w:outlineLvl w:val="0"/>
      </w:pPr>
      <w:r>
        <w:t>УТВЕРЖДЕН</w:t>
      </w:r>
    </w:p>
    <w:p w:rsidR="006E6B43" w:rsidRDefault="006E6B43">
      <w:pPr>
        <w:pStyle w:val="ConsPlusNormal"/>
        <w:jc w:val="right"/>
      </w:pPr>
      <w:r>
        <w:t>постановлением Правительства</w:t>
      </w:r>
    </w:p>
    <w:p w:rsidR="006E6B43" w:rsidRDefault="006E6B43">
      <w:pPr>
        <w:pStyle w:val="ConsPlusNormal"/>
        <w:jc w:val="right"/>
      </w:pPr>
      <w:r>
        <w:t>Ленинградской области</w:t>
      </w:r>
    </w:p>
    <w:p w:rsidR="006E6B43" w:rsidRDefault="006E6B43">
      <w:pPr>
        <w:pStyle w:val="ConsPlusNormal"/>
        <w:jc w:val="right"/>
      </w:pPr>
      <w:r>
        <w:t>от 28.09.2020 N 644</w:t>
      </w:r>
    </w:p>
    <w:p w:rsidR="006E6B43" w:rsidRDefault="006E6B43">
      <w:pPr>
        <w:pStyle w:val="ConsPlusNormal"/>
        <w:jc w:val="right"/>
      </w:pPr>
      <w:r>
        <w:t>(приложение 2)</w:t>
      </w:r>
    </w:p>
    <w:p w:rsidR="006E6B43" w:rsidRDefault="006E6B43">
      <w:pPr>
        <w:pStyle w:val="ConsPlusNormal"/>
      </w:pPr>
    </w:p>
    <w:p w:rsidR="006E6B43" w:rsidRDefault="006E6B43">
      <w:pPr>
        <w:pStyle w:val="ConsPlusTitle"/>
        <w:jc w:val="center"/>
      </w:pPr>
      <w:bookmarkStart w:id="2" w:name="P130"/>
      <w:bookmarkEnd w:id="2"/>
      <w:r>
        <w:t>ПЕРЕЧЕНЬ</w:t>
      </w:r>
    </w:p>
    <w:p w:rsidR="006E6B43" w:rsidRDefault="006E6B43">
      <w:pPr>
        <w:pStyle w:val="ConsPlusTitle"/>
        <w:jc w:val="center"/>
      </w:pPr>
      <w:r>
        <w:t>ПОКАЗАТЕЛЕЙ, ИСПОЛЬЗУЕМЫХ ПРИ РАСЧЕТЕ КОМПЛЕКСНОЙ ОЦЕНКИ</w:t>
      </w:r>
    </w:p>
    <w:p w:rsidR="006E6B43" w:rsidRDefault="006E6B43">
      <w:pPr>
        <w:pStyle w:val="ConsPlusTitle"/>
        <w:jc w:val="center"/>
      </w:pPr>
      <w:r>
        <w:t>ЭФФЕКТИВНОСТИ ДЕЯТЕЛЬНОСТИ ОРГАНОВ МЕСТНОГО САМОУПРАВЛЕНИЯ</w:t>
      </w:r>
    </w:p>
    <w:p w:rsidR="006E6B43" w:rsidRDefault="006E6B43">
      <w:pPr>
        <w:pStyle w:val="ConsPlusTitle"/>
        <w:jc w:val="center"/>
      </w:pPr>
      <w:r>
        <w:t>МУНИЦИПАЛЬНЫХ РАЙОНОВ, МУНИЦИПАЛЬНОГО ОКРУГА И ГОРОДСКОГО</w:t>
      </w:r>
    </w:p>
    <w:p w:rsidR="006E6B43" w:rsidRDefault="006E6B43">
      <w:pPr>
        <w:pStyle w:val="ConsPlusTitle"/>
        <w:jc w:val="center"/>
      </w:pPr>
      <w:r>
        <w:t>ОКРУГА ЛЕНИНГРАДСКОЙ ОБЛАСТИ</w:t>
      </w:r>
    </w:p>
    <w:p w:rsidR="006E6B43" w:rsidRDefault="006E6B4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E6B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B43" w:rsidRDefault="006E6B4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B43" w:rsidRDefault="006E6B4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6B43" w:rsidRDefault="006E6B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6B43" w:rsidRDefault="006E6B4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6E6B43" w:rsidRDefault="006E6B43">
            <w:pPr>
              <w:pStyle w:val="ConsPlusNormal"/>
              <w:jc w:val="center"/>
            </w:pPr>
            <w:r>
              <w:rPr>
                <w:color w:val="392C69"/>
              </w:rPr>
              <w:t>от 10.02.2025 N 137)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B43" w:rsidRDefault="006E6B43">
            <w:pPr>
              <w:pStyle w:val="ConsPlusNormal"/>
            </w:pPr>
          </w:p>
        </w:tc>
      </w:tr>
    </w:tbl>
    <w:p w:rsidR="006E6B43" w:rsidRDefault="006E6B43">
      <w:pPr>
        <w:pStyle w:val="ConsPlusNormal"/>
      </w:pPr>
    </w:p>
    <w:p w:rsidR="006E6B43" w:rsidRDefault="006E6B43">
      <w:pPr>
        <w:pStyle w:val="ConsPlusNormal"/>
        <w:ind w:firstLine="540"/>
        <w:jc w:val="both"/>
      </w:pPr>
      <w:bookmarkStart w:id="3" w:name="P139"/>
      <w:bookmarkEnd w:id="3"/>
      <w:r>
        <w:t xml:space="preserve">1. Число субъектов малого и среднего предпринимательства в </w:t>
      </w:r>
      <w:proofErr w:type="gramStart"/>
      <w:r>
        <w:t>расчете</w:t>
      </w:r>
      <w:proofErr w:type="gramEnd"/>
      <w:r>
        <w:t xml:space="preserve"> на 10 тыс. человек населения (единиц).</w:t>
      </w:r>
    </w:p>
    <w:p w:rsidR="006E6B43" w:rsidRDefault="006E6B43">
      <w:pPr>
        <w:pStyle w:val="ConsPlusNormal"/>
        <w:spacing w:before="220"/>
        <w:ind w:firstLine="540"/>
        <w:jc w:val="both"/>
      </w:pPr>
      <w:r>
        <w:t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(процентов).</w:t>
      </w:r>
    </w:p>
    <w:p w:rsidR="006E6B43" w:rsidRDefault="006E6B43">
      <w:pPr>
        <w:pStyle w:val="ConsPlusNormal"/>
        <w:spacing w:before="220"/>
        <w:ind w:firstLine="540"/>
        <w:jc w:val="both"/>
      </w:pPr>
      <w:bookmarkStart w:id="4" w:name="P141"/>
      <w:bookmarkEnd w:id="4"/>
      <w:r>
        <w:t xml:space="preserve">3. Объем инвестиций в основной капитал (за исключением бюджетных средств) в </w:t>
      </w:r>
      <w:proofErr w:type="gramStart"/>
      <w:r>
        <w:t>расчете</w:t>
      </w:r>
      <w:proofErr w:type="gramEnd"/>
      <w:r>
        <w:t xml:space="preserve"> на 1 жителя (рублей).</w:t>
      </w:r>
    </w:p>
    <w:p w:rsidR="006E6B43" w:rsidRDefault="006E6B43">
      <w:pPr>
        <w:pStyle w:val="ConsPlusNormal"/>
        <w:spacing w:before="220"/>
        <w:ind w:firstLine="540"/>
        <w:jc w:val="both"/>
      </w:pPr>
      <w:bookmarkStart w:id="5" w:name="P142"/>
      <w:bookmarkEnd w:id="5"/>
      <w:r>
        <w:t>4.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(процентов).</w:t>
      </w:r>
    </w:p>
    <w:p w:rsidR="006E6B43" w:rsidRDefault="006E6B43">
      <w:pPr>
        <w:pStyle w:val="ConsPlusNormal"/>
        <w:spacing w:before="220"/>
        <w:ind w:firstLine="540"/>
        <w:jc w:val="both"/>
      </w:pPr>
      <w:r>
        <w:t xml:space="preserve">5. Доля населения, проживающего в населенных пунктах, не имеющих регулярного автобусного </w:t>
      </w:r>
      <w:proofErr w:type="gramStart"/>
      <w:r>
        <w:t>и(</w:t>
      </w:r>
      <w:proofErr w:type="gramEnd"/>
      <w:r>
        <w:t xml:space="preserve">или) железнодорожного сообщения с административным центром </w:t>
      </w:r>
      <w:r>
        <w:lastRenderedPageBreak/>
        <w:t>муниципального округа, городского округа (муниципального района), в общей численности населения муниципального округа, городского округа (муниципального района) (процентов).</w:t>
      </w:r>
    </w:p>
    <w:p w:rsidR="006E6B43" w:rsidRDefault="006E6B43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10.02.2025 N 137)</w:t>
      </w:r>
    </w:p>
    <w:p w:rsidR="006E6B43" w:rsidRDefault="006E6B43">
      <w:pPr>
        <w:pStyle w:val="ConsPlusNormal"/>
        <w:spacing w:before="220"/>
        <w:ind w:firstLine="540"/>
        <w:jc w:val="both"/>
      </w:pPr>
      <w:r>
        <w:t xml:space="preserve">6. Доля детей в </w:t>
      </w:r>
      <w:proofErr w:type="gramStart"/>
      <w:r>
        <w:t>возрасте</w:t>
      </w:r>
      <w:proofErr w:type="gramEnd"/>
      <w:r>
        <w:t xml:space="preserve"> 1-6 лет, стоящих на учете для определения в муниципальные дошкольные образовательные учреждения, в общей численности детей в возрасте 1-6 лет (процентов).</w:t>
      </w:r>
    </w:p>
    <w:p w:rsidR="006E6B43" w:rsidRDefault="006E6B43">
      <w:pPr>
        <w:pStyle w:val="ConsPlusNormal"/>
        <w:spacing w:before="220"/>
        <w:ind w:firstLine="540"/>
        <w:jc w:val="both"/>
      </w:pPr>
      <w:r>
        <w:t xml:space="preserve">7. Доля муниципальных общеобразовательных учреждений, соответствующих современным требованиям обучения, в </w:t>
      </w:r>
      <w:proofErr w:type="gramStart"/>
      <w:r>
        <w:t>общем</w:t>
      </w:r>
      <w:proofErr w:type="gramEnd"/>
      <w:r>
        <w:t xml:space="preserve"> количестве муниципальных общеобразовательных учреждений (процентов).</w:t>
      </w:r>
    </w:p>
    <w:p w:rsidR="006E6B43" w:rsidRDefault="006E6B43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(процентов).</w:t>
      </w:r>
      <w:proofErr w:type="gramEnd"/>
    </w:p>
    <w:p w:rsidR="006E6B43" w:rsidRDefault="006E6B43">
      <w:pPr>
        <w:pStyle w:val="ConsPlusNormal"/>
        <w:spacing w:before="220"/>
        <w:ind w:firstLine="540"/>
        <w:jc w:val="both"/>
      </w:pPr>
      <w:bookmarkStart w:id="6" w:name="P148"/>
      <w:bookmarkEnd w:id="6"/>
      <w:r>
        <w:t xml:space="preserve">9. Общая площадь жилых помещений, введенная в действие за один год, в </w:t>
      </w:r>
      <w:proofErr w:type="gramStart"/>
      <w:r>
        <w:t>среднем</w:t>
      </w:r>
      <w:proofErr w:type="gramEnd"/>
      <w:r>
        <w:t xml:space="preserve"> на 1 жителя (кв. метров).</w:t>
      </w:r>
    </w:p>
    <w:p w:rsidR="006E6B43" w:rsidRDefault="006E6B43">
      <w:pPr>
        <w:pStyle w:val="ConsPlusNormal"/>
        <w:spacing w:before="220"/>
        <w:ind w:firstLine="540"/>
        <w:jc w:val="both"/>
      </w:pPr>
      <w:r>
        <w:t>10. Доля многоквартирных домов, расположенных на земельных участках, в отношении которых осуществлен государственный кадастровый учет (процентов).</w:t>
      </w:r>
    </w:p>
    <w:p w:rsidR="006E6B43" w:rsidRDefault="006E6B43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(процентов).</w:t>
      </w:r>
      <w:proofErr w:type="gramEnd"/>
    </w:p>
    <w:p w:rsidR="006E6B43" w:rsidRDefault="006E6B43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 (процентов).</w:t>
      </w:r>
      <w:proofErr w:type="gramEnd"/>
    </w:p>
    <w:p w:rsidR="006E6B43" w:rsidRDefault="006E6B43">
      <w:pPr>
        <w:pStyle w:val="ConsPlusNormal"/>
        <w:spacing w:before="220"/>
        <w:ind w:firstLine="540"/>
        <w:jc w:val="both"/>
      </w:pPr>
      <w:r>
        <w:t>13. Удовлетворенность населения деятельностью органов местного самоуправления (процентов от числа опрошенных).</w:t>
      </w:r>
    </w:p>
    <w:p w:rsidR="006E6B43" w:rsidRDefault="006E6B43">
      <w:pPr>
        <w:pStyle w:val="ConsPlusNormal"/>
        <w:spacing w:before="220"/>
        <w:ind w:firstLine="540"/>
        <w:jc w:val="both"/>
      </w:pPr>
      <w:r>
        <w:t>14. Удельная величина потребления энергетических ресурсов муниципальными бюджетными учреждениями: электрическая энергия (кВт/</w:t>
      </w:r>
      <w:proofErr w:type="gramStart"/>
      <w:r>
        <w:t>ч</w:t>
      </w:r>
      <w:proofErr w:type="gramEnd"/>
      <w:r>
        <w:t xml:space="preserve"> на 1 человека населения), тепловая энергия (Гкал на 1 кв. метр общей площади), горячая вода (куб. метров на 1 человека населения), холодная вода (куб. метров на 1 человека населения).</w:t>
      </w:r>
    </w:p>
    <w:p w:rsidR="006E6B43" w:rsidRDefault="006E6B43">
      <w:pPr>
        <w:pStyle w:val="ConsPlusNormal"/>
      </w:pPr>
    </w:p>
    <w:p w:rsidR="006E6B43" w:rsidRDefault="006E6B43">
      <w:pPr>
        <w:pStyle w:val="ConsPlusNormal"/>
      </w:pPr>
    </w:p>
    <w:p w:rsidR="006E6B43" w:rsidRDefault="006E6B4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636E" w:rsidRDefault="00FD636E"/>
    <w:sectPr w:rsidR="00FD636E" w:rsidSect="00133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43"/>
    <w:rsid w:val="006E6B43"/>
    <w:rsid w:val="00FD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B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E6B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E6B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B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E6B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E6B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313152&amp;dst=100058" TargetMode="External"/><Relationship Id="rId13" Type="http://schemas.openxmlformats.org/officeDocument/2006/relationships/hyperlink" Target="https://login.consultant.ru/link/?req=doc&amp;base=SPB&amp;n=214814" TargetMode="External"/><Relationship Id="rId18" Type="http://schemas.openxmlformats.org/officeDocument/2006/relationships/hyperlink" Target="https://login.consultant.ru/link/?req=doc&amp;base=SPB&amp;n=184813" TargetMode="External"/><Relationship Id="rId26" Type="http://schemas.openxmlformats.org/officeDocument/2006/relationships/hyperlink" Target="https://login.consultant.ru/link/?req=doc&amp;base=SPB&amp;n=306156&amp;dst=100011" TargetMode="External"/><Relationship Id="rId39" Type="http://schemas.openxmlformats.org/officeDocument/2006/relationships/hyperlink" Target="https://login.consultant.ru/link/?req=doc&amp;base=SPB&amp;n=312319&amp;dst=1000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SPB&amp;n=211936" TargetMode="External"/><Relationship Id="rId34" Type="http://schemas.openxmlformats.org/officeDocument/2006/relationships/image" Target="media/image2.wmf"/><Relationship Id="rId42" Type="http://schemas.openxmlformats.org/officeDocument/2006/relationships/hyperlink" Target="https://login.consultant.ru/link/?req=doc&amp;base=SPB&amp;n=306156&amp;dst=100024" TargetMode="External"/><Relationship Id="rId7" Type="http://schemas.openxmlformats.org/officeDocument/2006/relationships/hyperlink" Target="https://login.consultant.ru/link/?req=doc&amp;base=LAW&amp;n=508374&amp;dst=5713" TargetMode="External"/><Relationship Id="rId12" Type="http://schemas.openxmlformats.org/officeDocument/2006/relationships/hyperlink" Target="https://login.consultant.ru/link/?req=doc&amp;base=SPB&amp;n=306156&amp;dst=100008" TargetMode="External"/><Relationship Id="rId17" Type="http://schemas.openxmlformats.org/officeDocument/2006/relationships/hyperlink" Target="https://login.consultant.ru/link/?req=doc&amp;base=SPB&amp;n=175985" TargetMode="External"/><Relationship Id="rId25" Type="http://schemas.openxmlformats.org/officeDocument/2006/relationships/hyperlink" Target="https://login.consultant.ru/link/?req=doc&amp;base=SPB&amp;n=306156&amp;dst=100011" TargetMode="External"/><Relationship Id="rId33" Type="http://schemas.openxmlformats.org/officeDocument/2006/relationships/image" Target="media/image1.wmf"/><Relationship Id="rId38" Type="http://schemas.openxmlformats.org/officeDocument/2006/relationships/hyperlink" Target="https://login.consultant.ru/link/?req=doc&amp;base=SPB&amp;n=312319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154112" TargetMode="External"/><Relationship Id="rId20" Type="http://schemas.openxmlformats.org/officeDocument/2006/relationships/hyperlink" Target="https://login.consultant.ru/link/?req=doc&amp;base=SPB&amp;n=203374" TargetMode="External"/><Relationship Id="rId29" Type="http://schemas.openxmlformats.org/officeDocument/2006/relationships/hyperlink" Target="https://login.consultant.ru/link/?req=doc&amp;base=SPB&amp;n=306222&amp;dst=100138" TargetMode="External"/><Relationship Id="rId41" Type="http://schemas.openxmlformats.org/officeDocument/2006/relationships/hyperlink" Target="https://login.consultant.ru/link/?req=doc&amp;base=SPB&amp;n=306156&amp;dst=1000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312319&amp;dst=100005" TargetMode="External"/><Relationship Id="rId11" Type="http://schemas.openxmlformats.org/officeDocument/2006/relationships/hyperlink" Target="https://login.consultant.ru/link/?req=doc&amp;base=SPB&amp;n=306156&amp;dst=100008" TargetMode="External"/><Relationship Id="rId24" Type="http://schemas.openxmlformats.org/officeDocument/2006/relationships/hyperlink" Target="https://login.consultant.ru/link/?req=doc&amp;base=SPB&amp;n=306156&amp;dst=100011" TargetMode="External"/><Relationship Id="rId32" Type="http://schemas.openxmlformats.org/officeDocument/2006/relationships/hyperlink" Target="https://login.consultant.ru/link/?req=doc&amp;base=SPB&amp;n=306156&amp;dst=100018" TargetMode="External"/><Relationship Id="rId37" Type="http://schemas.openxmlformats.org/officeDocument/2006/relationships/hyperlink" Target="https://login.consultant.ru/link/?req=doc&amp;base=SPB&amp;n=312319&amp;dst=100005" TargetMode="External"/><Relationship Id="rId40" Type="http://schemas.openxmlformats.org/officeDocument/2006/relationships/hyperlink" Target="https://login.consultant.ru/link/?req=doc&amp;base=SPB&amp;n=306156&amp;dst=100020" TargetMode="External"/><Relationship Id="rId5" Type="http://schemas.openxmlformats.org/officeDocument/2006/relationships/hyperlink" Target="https://login.consultant.ru/link/?req=doc&amp;base=SPB&amp;n=306156&amp;dst=100005" TargetMode="External"/><Relationship Id="rId15" Type="http://schemas.openxmlformats.org/officeDocument/2006/relationships/hyperlink" Target="https://login.consultant.ru/link/?req=doc&amp;base=SPB&amp;n=123004" TargetMode="External"/><Relationship Id="rId23" Type="http://schemas.openxmlformats.org/officeDocument/2006/relationships/hyperlink" Target="https://login.consultant.ru/link/?req=doc&amp;base=SPB&amp;n=312319&amp;dst=100005" TargetMode="External"/><Relationship Id="rId28" Type="http://schemas.openxmlformats.org/officeDocument/2006/relationships/hyperlink" Target="https://login.consultant.ru/link/?req=doc&amp;base=LAW&amp;n=389458&amp;dst=100236" TargetMode="External"/><Relationship Id="rId36" Type="http://schemas.openxmlformats.org/officeDocument/2006/relationships/hyperlink" Target="https://login.consultant.ru/link/?req=doc&amp;base=SPB&amp;n=312319&amp;dst=100005" TargetMode="External"/><Relationship Id="rId10" Type="http://schemas.openxmlformats.org/officeDocument/2006/relationships/hyperlink" Target="https://login.consultant.ru/link/?req=doc&amp;base=SPB&amp;n=306156&amp;dst=100007" TargetMode="External"/><Relationship Id="rId19" Type="http://schemas.openxmlformats.org/officeDocument/2006/relationships/hyperlink" Target="https://login.consultant.ru/link/?req=doc&amp;base=SPB&amp;n=190409" TargetMode="External"/><Relationship Id="rId31" Type="http://schemas.openxmlformats.org/officeDocument/2006/relationships/hyperlink" Target="https://login.consultant.ru/link/?req=doc&amp;base=SPB&amp;n=306156&amp;dst=100016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7258&amp;dst=1" TargetMode="External"/><Relationship Id="rId14" Type="http://schemas.openxmlformats.org/officeDocument/2006/relationships/hyperlink" Target="https://login.consultant.ru/link/?req=doc&amp;base=SPB&amp;n=117797" TargetMode="External"/><Relationship Id="rId22" Type="http://schemas.openxmlformats.org/officeDocument/2006/relationships/hyperlink" Target="https://login.consultant.ru/link/?req=doc&amp;base=SPB&amp;n=306156&amp;dst=100009" TargetMode="External"/><Relationship Id="rId27" Type="http://schemas.openxmlformats.org/officeDocument/2006/relationships/hyperlink" Target="https://login.consultant.ru/link/?req=doc&amp;base=LAW&amp;n=389458&amp;dst=100201" TargetMode="External"/><Relationship Id="rId30" Type="http://schemas.openxmlformats.org/officeDocument/2006/relationships/hyperlink" Target="https://login.consultant.ru/link/?req=doc&amp;base=SPB&amp;n=306156&amp;dst=100012" TargetMode="External"/><Relationship Id="rId35" Type="http://schemas.openxmlformats.org/officeDocument/2006/relationships/hyperlink" Target="https://login.consultant.ru/link/?req=doc&amp;base=SPB&amp;n=306156&amp;dst=100019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3248</Words>
  <Characters>18516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Юрьевич Морозов</dc:creator>
  <cp:lastModifiedBy>Александр Юрьевич Морозов</cp:lastModifiedBy>
  <cp:revision>1</cp:revision>
  <dcterms:created xsi:type="dcterms:W3CDTF">2025-07-01T11:28:00Z</dcterms:created>
  <dcterms:modified xsi:type="dcterms:W3CDTF">2025-07-01T11:28:00Z</dcterms:modified>
</cp:coreProperties>
</file>