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B2" w:rsidRDefault="006400B2">
      <w:pPr>
        <w:pStyle w:val="ConsPlusNormal"/>
        <w:outlineLvl w:val="0"/>
      </w:pPr>
    </w:p>
    <w:p w:rsidR="006400B2" w:rsidRDefault="006400B2">
      <w:pPr>
        <w:pStyle w:val="ConsPlusNormal"/>
        <w:outlineLvl w:val="0"/>
      </w:pPr>
      <w:bookmarkStart w:id="0" w:name="_GoBack"/>
      <w:bookmarkEnd w:id="0"/>
    </w:p>
    <w:p w:rsidR="006400B2" w:rsidRDefault="006400B2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6400B2" w:rsidRDefault="006400B2">
      <w:pPr>
        <w:pStyle w:val="ConsPlusTitle"/>
        <w:jc w:val="center"/>
      </w:pPr>
    </w:p>
    <w:p w:rsidR="006400B2" w:rsidRDefault="006400B2">
      <w:pPr>
        <w:pStyle w:val="ConsPlusTitle"/>
        <w:jc w:val="center"/>
      </w:pPr>
      <w:r>
        <w:t>ПОСТАНОВЛЕНИЕ</w:t>
      </w:r>
    </w:p>
    <w:p w:rsidR="006400B2" w:rsidRDefault="006400B2">
      <w:pPr>
        <w:pStyle w:val="ConsPlusTitle"/>
        <w:jc w:val="center"/>
      </w:pPr>
      <w:r>
        <w:t>от 19 июля 2017 г. N 276</w:t>
      </w:r>
    </w:p>
    <w:p w:rsidR="006400B2" w:rsidRDefault="006400B2">
      <w:pPr>
        <w:pStyle w:val="ConsPlusTitle"/>
        <w:jc w:val="center"/>
      </w:pPr>
    </w:p>
    <w:p w:rsidR="006400B2" w:rsidRDefault="006400B2">
      <w:pPr>
        <w:pStyle w:val="ConsPlusTitle"/>
        <w:jc w:val="center"/>
      </w:pPr>
      <w:r>
        <w:t xml:space="preserve">О </w:t>
      </w:r>
      <w:proofErr w:type="gramStart"/>
      <w:r>
        <w:t>ПРОВЕДЕНИИ</w:t>
      </w:r>
      <w:proofErr w:type="gramEnd"/>
      <w:r>
        <w:t xml:space="preserve"> РЕГИОНАЛЬНОГО ЭТАПА ВСЕРОССИЙСКОГО КОНКУРСА</w:t>
      </w:r>
    </w:p>
    <w:p w:rsidR="006400B2" w:rsidRDefault="006400B2">
      <w:pPr>
        <w:pStyle w:val="ConsPlusTitle"/>
        <w:jc w:val="center"/>
      </w:pPr>
      <w:r>
        <w:t xml:space="preserve">"ЛУЧШАЯ МУНИЦИПАЛЬНАЯ ПРАКТИКА" СРЕДИ </w:t>
      </w:r>
      <w:proofErr w:type="gramStart"/>
      <w:r>
        <w:t>МУНИЦИПАЛЬНЫХ</w:t>
      </w:r>
      <w:proofErr w:type="gramEnd"/>
    </w:p>
    <w:p w:rsidR="006400B2" w:rsidRDefault="006400B2">
      <w:pPr>
        <w:pStyle w:val="ConsPlusTitle"/>
        <w:jc w:val="center"/>
      </w:pPr>
      <w:r>
        <w:t>ОБРАЗОВАНИЙ ЛЕНИНГРАДСКОЙ ОБЛАСТИ</w:t>
      </w:r>
    </w:p>
    <w:p w:rsidR="006400B2" w:rsidRDefault="006400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0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B2" w:rsidRDefault="006400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B2" w:rsidRDefault="006400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0B2" w:rsidRDefault="006400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00B2" w:rsidRDefault="006400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400B2" w:rsidRDefault="006400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5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22.07.2019 </w:t>
            </w:r>
            <w:hyperlink r:id="rId6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10.03.2020 </w:t>
            </w:r>
            <w:hyperlink r:id="rId7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</w:p>
          <w:p w:rsidR="006400B2" w:rsidRDefault="006400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8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05.02.2025 </w:t>
            </w:r>
            <w:hyperlink r:id="rId9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10.06.2025 </w:t>
            </w:r>
            <w:hyperlink r:id="rId10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B2" w:rsidRDefault="006400B2">
            <w:pPr>
              <w:pStyle w:val="ConsPlusNormal"/>
            </w:pPr>
          </w:p>
        </w:tc>
      </w:tr>
    </w:tbl>
    <w:p w:rsidR="006400B2" w:rsidRDefault="006400B2">
      <w:pPr>
        <w:pStyle w:val="ConsPlusNormal"/>
        <w:jc w:val="center"/>
      </w:pPr>
    </w:p>
    <w:p w:rsidR="006400B2" w:rsidRDefault="006400B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года N 815 "О Всероссийском конкурсе "Лучшая муниципальная практика", в целях выявления, поощрения и распространения применения примеров лучшей практики в деятельности органов местного самоуправления муниципальных образований Ленинградской области по организации муниципального управления и решению вопросов местного значения муниципальных образований Правительство Ленинградской области постановляет:</w:t>
      </w:r>
      <w:proofErr w:type="gramEnd"/>
    </w:p>
    <w:p w:rsidR="006400B2" w:rsidRDefault="006400B2">
      <w:pPr>
        <w:pStyle w:val="ConsPlusNormal"/>
        <w:ind w:firstLine="540"/>
        <w:jc w:val="both"/>
      </w:pPr>
    </w:p>
    <w:p w:rsidR="006400B2" w:rsidRDefault="006400B2">
      <w:pPr>
        <w:pStyle w:val="ConsPlusNormal"/>
        <w:ind w:firstLine="540"/>
        <w:jc w:val="both"/>
      </w:pPr>
      <w:r>
        <w:t>1. Учредить региональный этап Всероссийского конкурса "Лучшая муниципальная практика" среди муниципальных образований Ленинградской области.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проведении регионального этапа Всероссийского конкурса "Лучшая муниципальная практика" среди муниципальных образований Ленинградской области.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муниципальных образований Ленинградской области принять участие в региональном </w:t>
      </w:r>
      <w:proofErr w:type="gramStart"/>
      <w:r>
        <w:t>этапе</w:t>
      </w:r>
      <w:proofErr w:type="gramEnd"/>
      <w:r>
        <w:t xml:space="preserve"> Всероссийского конкурса "Лучшая муниципальная практика" среди муниципальных образований Ленинградской области.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Комитету информационно-аналитического обеспечения и протокола Губернатора Ленинградской области обеспечить своевременное направление в средства массовой информации сведений о ходе проведения и результатах регионального этапа Всероссийского конкурса "Лучшая муниципальная практика" среди муниципальных образований Ленинградской области.</w:t>
      </w:r>
      <w:proofErr w:type="gramEnd"/>
    </w:p>
    <w:p w:rsidR="006400B2" w:rsidRDefault="006400B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5. Определить комитет по местному самоуправлению, межнациональным и межконфессиональным отношениям Ленинградской области ответственным за координацию мероприятий по подготовке и проведению регионального этапа Всероссийского конкурса "Лучшая муниципальная практика" среди муниципальных образований Ленинградской области.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по внутренней политике.</w:t>
      </w:r>
    </w:p>
    <w:p w:rsidR="006400B2" w:rsidRDefault="006400B2">
      <w:pPr>
        <w:pStyle w:val="ConsPlusNormal"/>
        <w:ind w:firstLine="540"/>
        <w:jc w:val="both"/>
      </w:pPr>
    </w:p>
    <w:p w:rsidR="006400B2" w:rsidRDefault="006400B2">
      <w:pPr>
        <w:pStyle w:val="ConsPlusNormal"/>
        <w:jc w:val="right"/>
      </w:pPr>
      <w:r>
        <w:t>Губернатор</w:t>
      </w:r>
    </w:p>
    <w:p w:rsidR="006400B2" w:rsidRDefault="006400B2">
      <w:pPr>
        <w:pStyle w:val="ConsPlusNormal"/>
        <w:jc w:val="right"/>
      </w:pPr>
      <w:r>
        <w:t>Ленинградской области</w:t>
      </w:r>
    </w:p>
    <w:p w:rsidR="006400B2" w:rsidRDefault="006400B2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6400B2" w:rsidRDefault="006400B2">
      <w:pPr>
        <w:pStyle w:val="ConsPlusNormal"/>
        <w:jc w:val="right"/>
      </w:pPr>
    </w:p>
    <w:p w:rsidR="006400B2" w:rsidRDefault="006400B2">
      <w:pPr>
        <w:pStyle w:val="ConsPlusNormal"/>
        <w:jc w:val="right"/>
      </w:pPr>
    </w:p>
    <w:p w:rsidR="006400B2" w:rsidRDefault="006400B2">
      <w:pPr>
        <w:pStyle w:val="ConsPlusNormal"/>
        <w:jc w:val="right"/>
      </w:pPr>
    </w:p>
    <w:p w:rsidR="006400B2" w:rsidRDefault="006400B2">
      <w:pPr>
        <w:pStyle w:val="ConsPlusNormal"/>
        <w:jc w:val="right"/>
      </w:pPr>
    </w:p>
    <w:p w:rsidR="006400B2" w:rsidRDefault="006400B2">
      <w:pPr>
        <w:pStyle w:val="ConsPlusNormal"/>
        <w:jc w:val="right"/>
      </w:pPr>
    </w:p>
    <w:p w:rsidR="006400B2" w:rsidRDefault="006400B2">
      <w:pPr>
        <w:pStyle w:val="ConsPlusNormal"/>
        <w:jc w:val="right"/>
        <w:outlineLvl w:val="0"/>
      </w:pPr>
      <w:r>
        <w:t>УТВЕРЖДЕНО</w:t>
      </w:r>
    </w:p>
    <w:p w:rsidR="006400B2" w:rsidRDefault="006400B2">
      <w:pPr>
        <w:pStyle w:val="ConsPlusNormal"/>
        <w:jc w:val="right"/>
      </w:pPr>
      <w:r>
        <w:t>постановлением Правительства</w:t>
      </w:r>
    </w:p>
    <w:p w:rsidR="006400B2" w:rsidRDefault="006400B2">
      <w:pPr>
        <w:pStyle w:val="ConsPlusNormal"/>
        <w:jc w:val="right"/>
      </w:pPr>
      <w:r>
        <w:t>Ленинградской области</w:t>
      </w:r>
    </w:p>
    <w:p w:rsidR="006400B2" w:rsidRDefault="006400B2">
      <w:pPr>
        <w:pStyle w:val="ConsPlusNormal"/>
        <w:jc w:val="right"/>
      </w:pPr>
      <w:r>
        <w:t>от 19.07.2017 N 276</w:t>
      </w:r>
    </w:p>
    <w:p w:rsidR="006400B2" w:rsidRDefault="006400B2">
      <w:pPr>
        <w:pStyle w:val="ConsPlusNormal"/>
        <w:jc w:val="right"/>
      </w:pPr>
      <w:r>
        <w:t>(приложение)</w:t>
      </w:r>
    </w:p>
    <w:p w:rsidR="006400B2" w:rsidRDefault="006400B2">
      <w:pPr>
        <w:pStyle w:val="ConsPlusNormal"/>
        <w:ind w:firstLine="540"/>
        <w:jc w:val="both"/>
      </w:pPr>
    </w:p>
    <w:p w:rsidR="006400B2" w:rsidRDefault="006400B2">
      <w:pPr>
        <w:pStyle w:val="ConsPlusTitle"/>
        <w:jc w:val="center"/>
      </w:pPr>
      <w:bookmarkStart w:id="1" w:name="P38"/>
      <w:bookmarkEnd w:id="1"/>
      <w:r>
        <w:t>ПОЛОЖЕНИЕ</w:t>
      </w:r>
    </w:p>
    <w:p w:rsidR="006400B2" w:rsidRDefault="006400B2">
      <w:pPr>
        <w:pStyle w:val="ConsPlusTitle"/>
        <w:jc w:val="center"/>
      </w:pPr>
      <w:r>
        <w:t xml:space="preserve">О </w:t>
      </w:r>
      <w:proofErr w:type="gramStart"/>
      <w:r>
        <w:t>ПРОВЕДЕНИИ</w:t>
      </w:r>
      <w:proofErr w:type="gramEnd"/>
      <w:r>
        <w:t xml:space="preserve"> РЕГИОНАЛЬНОГО ЭТАПА ВСЕРОССИЙСКОГО КОНКУРСА</w:t>
      </w:r>
    </w:p>
    <w:p w:rsidR="006400B2" w:rsidRDefault="006400B2">
      <w:pPr>
        <w:pStyle w:val="ConsPlusTitle"/>
        <w:jc w:val="center"/>
      </w:pPr>
      <w:r>
        <w:t xml:space="preserve">"ЛУЧШАЯ МУНИЦИПАЛЬНАЯ ПРАКТИКА" СРЕДИ </w:t>
      </w:r>
      <w:proofErr w:type="gramStart"/>
      <w:r>
        <w:t>МУНИЦИПАЛЬНЫХ</w:t>
      </w:r>
      <w:proofErr w:type="gramEnd"/>
    </w:p>
    <w:p w:rsidR="006400B2" w:rsidRDefault="006400B2">
      <w:pPr>
        <w:pStyle w:val="ConsPlusTitle"/>
        <w:jc w:val="center"/>
      </w:pPr>
      <w:r>
        <w:t>ОБРАЗОВАНИЙ ЛЕНИНГРАДСКОЙ ОБЛАСТИ</w:t>
      </w:r>
    </w:p>
    <w:p w:rsidR="006400B2" w:rsidRDefault="006400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0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B2" w:rsidRDefault="006400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B2" w:rsidRDefault="006400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0B2" w:rsidRDefault="006400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00B2" w:rsidRDefault="006400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400B2" w:rsidRDefault="006400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13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22.07.2019 </w:t>
            </w:r>
            <w:hyperlink r:id="rId14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10.03.2020 </w:t>
            </w:r>
            <w:hyperlink r:id="rId15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</w:p>
          <w:p w:rsidR="006400B2" w:rsidRDefault="006400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14.07.2020 </w:t>
            </w:r>
            <w:hyperlink r:id="rId16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05.02.2025 </w:t>
            </w:r>
            <w:hyperlink r:id="rId17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10.06.2025 </w:t>
            </w:r>
            <w:hyperlink r:id="rId18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B2" w:rsidRDefault="006400B2">
            <w:pPr>
              <w:pStyle w:val="ConsPlusNormal"/>
            </w:pPr>
          </w:p>
        </w:tc>
      </w:tr>
    </w:tbl>
    <w:p w:rsidR="006400B2" w:rsidRDefault="006400B2">
      <w:pPr>
        <w:pStyle w:val="ConsPlusNormal"/>
        <w:jc w:val="center"/>
      </w:pPr>
    </w:p>
    <w:p w:rsidR="006400B2" w:rsidRDefault="006400B2">
      <w:pPr>
        <w:pStyle w:val="ConsPlusNormal"/>
        <w:ind w:firstLine="540"/>
        <w:jc w:val="both"/>
      </w:pPr>
      <w:r>
        <w:t>1. Настоящее Положение определяет порядок организации и проведения в Ленинградской области регионального этапа Всероссийского конкурса "Лучшая муниципальная практика" среди муниципальных образований Ленинградской области (далее - конкурс).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Региональный этап конкурса организуется и проводится ежегодно в целях выявления, поощрения и распространения применения примеров лучшей практики деятельности органов местного самоуправления муниципальных образований Ленинградской области по организации муниципального управления и решению вопросов местного значения муниципальных образований (далее - лучшая муниципальная практика в Ленинградской области), а также отбора кандидатов от Ленинградской области для дальнейшего участия в федеральном этапе конкурса.</w:t>
      </w:r>
      <w:proofErr w:type="gramEnd"/>
    </w:p>
    <w:p w:rsidR="006400B2" w:rsidRDefault="006400B2">
      <w:pPr>
        <w:pStyle w:val="ConsPlusNormal"/>
        <w:spacing w:before="220"/>
        <w:ind w:firstLine="540"/>
        <w:jc w:val="both"/>
      </w:pPr>
      <w:r>
        <w:t>3. Конкурс проводится по следующим номинациям, отражающим практику организации муниципального управления и решения вопросов местного значения муниципальных образований Ленинградской области (далее - номинации):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а) повышение эффективности управления территорией муниципального образования;</w:t>
      </w:r>
    </w:p>
    <w:p w:rsidR="006400B2" w:rsidRDefault="006400B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10.06.2025 N 516)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б) повышение узнаваемости муниципального образования ("бренд территории");</w:t>
      </w:r>
    </w:p>
    <w:p w:rsidR="006400B2" w:rsidRDefault="006400B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10.06.2025 N 516)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в)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уровне;</w:t>
      </w:r>
    </w:p>
    <w:p w:rsidR="006400B2" w:rsidRDefault="006400B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30.03.2018 N 111)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д) модернизация городского хозяйства посредством внедрения цифровых технологий и платформенных решений ("умный город").</w:t>
      </w:r>
    </w:p>
    <w:p w:rsidR="006400B2" w:rsidRDefault="006400B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14.07.2020 N 494)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4. В региональном этапе конкурса вправе участвовать муниципальный округ, городской округ, городские и сельские поселения Ленинградской области, распределяемые по следующим категориям участников конкурса:</w:t>
      </w:r>
    </w:p>
    <w:p w:rsidR="006400B2" w:rsidRDefault="006400B2">
      <w:pPr>
        <w:pStyle w:val="ConsPlusNormal"/>
        <w:jc w:val="both"/>
      </w:pPr>
      <w:r>
        <w:lastRenderedPageBreak/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I категория - муниципальный округ, городской округ и городские поселения Ленинградской области;</w:t>
      </w:r>
    </w:p>
    <w:p w:rsidR="006400B2" w:rsidRDefault="006400B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II категория - сельские поселения Ленинградской области.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Информация об организации и проведении регионального этапа конкурса размещается на официальном сайте Администрации Ленинградской области в информационно-телекоммуникационной сети "Интернет" (далее - сеть "Интернет") и направляется в Ассоциацию "Совет муниципальных образований Ленинградской области", администрациям муниципальных районов, муниципального округа и городского округа Ленинградской области для обеспечения возможности размещения ими указанной информации на своих сайтах в сети "Интернет".</w:t>
      </w:r>
      <w:proofErr w:type="gramEnd"/>
    </w:p>
    <w:p w:rsidR="006400B2" w:rsidRDefault="006400B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В информации об организации и проведении конкурса указываются: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наименование конкурса;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наименование номинаций конкурса;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номер и наименование категории участников конкурса;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дата и время начала и окончания приема </w:t>
      </w:r>
      <w:proofErr w:type="gramStart"/>
      <w:r>
        <w:t>конкурсных</w:t>
      </w:r>
      <w:proofErr w:type="gramEnd"/>
      <w:r>
        <w:t xml:space="preserve"> заявок;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место приема </w:t>
      </w:r>
      <w:proofErr w:type="gramStart"/>
      <w:r>
        <w:t>конкурсных</w:t>
      </w:r>
      <w:proofErr w:type="gramEnd"/>
      <w:r>
        <w:t xml:space="preserve"> заявок, контактные телефоны.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6. Организаторами конкурса по номинациям являются: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а) комитет по местному самоуправлению, межнациональным и межконфессиональным отношениям Ленинградской области (далее - Комитет) - укрепление межнационального мира и согласия, реализация иных мероприятий в сфере национальной политики на муниципальном уровне;</w:t>
      </w:r>
    </w:p>
    <w:p w:rsidR="006400B2" w:rsidRDefault="006400B2">
      <w:pPr>
        <w:pStyle w:val="ConsPlusNormal"/>
        <w:jc w:val="both"/>
      </w:pPr>
      <w:r>
        <w:t xml:space="preserve">(в ред. Постановлений Правительства Ленинградской области от 05.02.2025 </w:t>
      </w:r>
      <w:hyperlink r:id="rId26">
        <w:r>
          <w:rPr>
            <w:color w:val="0000FF"/>
          </w:rPr>
          <w:t>N 110</w:t>
        </w:r>
      </w:hyperlink>
      <w:r>
        <w:t xml:space="preserve">, от 10.06.2025 </w:t>
      </w:r>
      <w:hyperlink r:id="rId27">
        <w:r>
          <w:rPr>
            <w:color w:val="0000FF"/>
          </w:rPr>
          <w:t>N 516</w:t>
        </w:r>
      </w:hyperlink>
      <w:r>
        <w:t>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б) Комитет экономического развития и инвестиционной деятельности Ленинградской области - повышение эффективности управления территорией муниципального образования;</w:t>
      </w:r>
    </w:p>
    <w:p w:rsidR="006400B2" w:rsidRDefault="006400B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10.06.2025 N 516)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в) Комитет градостроительной политики Ленинградской области совместно с комитетом по жилищно-коммунальному хозяйству Ленинградской области -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г) комитет по жилищно-коммунальному хозяйству Ленинградской области по согласованию с Комитетом цифрового развития Ленинградской области - модернизация городского хозяйства посредством внедрения цифровых технологий и платформенных решений ("умный город");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д) комитет по местному самоуправлению, межнациональным и межконфессиональным отношениям Ленинградской области - повышение узнаваемости муниципального образования ("бренд территории").</w:t>
      </w:r>
    </w:p>
    <w:p w:rsidR="006400B2" w:rsidRDefault="006400B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10.06.2025 N 516)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Организаторы конкурса для оценки </w:t>
      </w:r>
      <w:proofErr w:type="gramStart"/>
      <w:r>
        <w:t>конкурсных</w:t>
      </w:r>
      <w:proofErr w:type="gramEnd"/>
      <w:r>
        <w:t xml:space="preserve"> заявок могут привлекать иные органы исполнительной власти Ленинградской области.</w:t>
      </w:r>
    </w:p>
    <w:p w:rsidR="006400B2" w:rsidRDefault="006400B2">
      <w:pPr>
        <w:pStyle w:val="ConsPlusNormal"/>
        <w:jc w:val="both"/>
      </w:pPr>
      <w:r>
        <w:lastRenderedPageBreak/>
        <w:t xml:space="preserve">(п. 6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14.07.2020 N 494)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7. Подведение итогов конкурса осуществляется конкурсной комиссией по подведению итогов регионального этапа Всероссийского конкурса "Лучшая муниципальная практика" среди муниципальных образований Ленинградской области (далее - конкурсная комиссия).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8. Организаторы конкурса в </w:t>
      </w:r>
      <w:proofErr w:type="gramStart"/>
      <w:r>
        <w:t>соответствии</w:t>
      </w:r>
      <w:proofErr w:type="gramEnd"/>
      <w:r>
        <w:t xml:space="preserve"> с номинациями: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а) осуществляют прием и рассмотрение конкурсных заявок муниципальных образований;</w:t>
      </w:r>
    </w:p>
    <w:p w:rsidR="006400B2" w:rsidRDefault="006400B2">
      <w:pPr>
        <w:pStyle w:val="ConsPlusNormal"/>
        <w:spacing w:before="220"/>
        <w:ind w:firstLine="540"/>
        <w:jc w:val="both"/>
      </w:pPr>
      <w:proofErr w:type="gramStart"/>
      <w:r>
        <w:t>б) запрашивают в пределах своей компетенции у органов государственной власти Ленинградской области, органов местного самоуправления, иных органов и организаций необходимые для рассмотрения и оценки конкурсных заявок документы, материалы и информацию, а также получают от органов местного самоуправления пояснения по представленным конкурсным заявкам муниципальных образований;</w:t>
      </w:r>
      <w:proofErr w:type="gramEnd"/>
    </w:p>
    <w:p w:rsidR="006400B2" w:rsidRDefault="006400B2">
      <w:pPr>
        <w:pStyle w:val="ConsPlusNormal"/>
        <w:spacing w:before="220"/>
        <w:ind w:firstLine="540"/>
        <w:jc w:val="both"/>
      </w:pPr>
      <w:r>
        <w:t>в) проводят проверку достоверности и действительности сведений, содержащихся в представленной конкурсной заявке муниципального образования, при необходимости привлекают независимых экспертов;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г) принимают решение о допуске конкурсной заявки к дальнейшим этапам конкурса или об отклонении конкурсной заявки муниципального образования;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д) осуществляют балльную оценку конкурсных заявок муниципальных образований в </w:t>
      </w:r>
      <w:proofErr w:type="gramStart"/>
      <w:r>
        <w:t>соответствии</w:t>
      </w:r>
      <w:proofErr w:type="gramEnd"/>
      <w:r>
        <w:t xml:space="preserve"> с методиками оценки конкурсных заявок муниципальных образований, утвержденными уполномоченными федеральными органами исполнительной власти, по соответствующим номинациям и категориям участников конкурса;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е) вносят в конкурсную комиссию предложения по определению победителей конкурса по номинациям и категориям участников конкурса;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ж) организуют направление конкурсных заявок муниципальных образований - победителей конкурса для участия в федеральном </w:t>
      </w:r>
      <w:proofErr w:type="gramStart"/>
      <w:r>
        <w:t>этапе</w:t>
      </w:r>
      <w:proofErr w:type="gramEnd"/>
      <w:r>
        <w:t xml:space="preserve"> конкурса;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з) </w:t>
      </w:r>
      <w:proofErr w:type="gramStart"/>
      <w:r>
        <w:t>обобщают и распространяют</w:t>
      </w:r>
      <w:proofErr w:type="gramEnd"/>
      <w:r>
        <w:t xml:space="preserve"> выявленные по итогам конкурса примеры лучшей муниципальной практики в Ленинградской области.</w:t>
      </w:r>
    </w:p>
    <w:p w:rsidR="006400B2" w:rsidRDefault="006400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00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B2" w:rsidRDefault="006400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B2" w:rsidRDefault="006400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00B2" w:rsidRDefault="006400B2">
            <w:pPr>
              <w:pStyle w:val="ConsPlusNormal"/>
              <w:jc w:val="both"/>
            </w:pPr>
            <w:r>
              <w:rPr>
                <w:color w:val="392C69"/>
              </w:rPr>
              <w:t>В 2025 году конкурсные заявки по номинациям "повышение эффективности управления территорией муниципального образования" и "повышение узнаваемости муниципального образования ("бренд территории")" подаются в срок до 27.06.2025 (</w:t>
            </w:r>
            <w:hyperlink r:id="rId31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 Правительства Ленинградской области от 10.06.2025 N 516).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B2" w:rsidRDefault="006400B2">
            <w:pPr>
              <w:pStyle w:val="ConsPlusNormal"/>
            </w:pPr>
          </w:p>
        </w:tc>
      </w:tr>
    </w:tbl>
    <w:p w:rsidR="006400B2" w:rsidRDefault="006400B2">
      <w:pPr>
        <w:pStyle w:val="ConsPlusNormal"/>
        <w:spacing w:before="280"/>
        <w:ind w:firstLine="540"/>
        <w:jc w:val="both"/>
      </w:pPr>
      <w:r>
        <w:t>9. Конкурсные заявки муниципальных образований, подготовленные по формам, утвержденным уполномоченными федеральными органами исполнительной власти, представляются организаторам конкурса по соответствующим номинациям до 1 июня.</w:t>
      </w:r>
    </w:p>
    <w:p w:rsidR="006400B2" w:rsidRDefault="006400B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Конкурсные заявки муниципальных образований представляются с сопроводительным письмом, подписанным главой муниципального образования, с указанием номинации и категории участников конкурса.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Муниципальное образование вправе подавать конкурсные заявки по всем номинациям конкурса.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10. Рассмотрение конкурсных заявок муниципальных образований осуществляется в </w:t>
      </w:r>
      <w:proofErr w:type="gramStart"/>
      <w:r>
        <w:lastRenderedPageBreak/>
        <w:t>соответствии</w:t>
      </w:r>
      <w:proofErr w:type="gramEnd"/>
      <w:r>
        <w:t xml:space="preserve"> с методиками оценки конкурсных заявок муниципальных образований, утвержденными уполномоченными федеральными органами исполнительной власти (далее - методика оценки конкурсных заявок муниципальных образований), по соответствующим номинациям.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Конкурсная заявка муниципального образования может быть отклонена в случае представления с нарушением установленных сроков, оформления с нарушением установленных федеральным органом исполнительной власти требований к формам конкурсных заявок муниципальных образований, а также указания недостоверных сведений.</w:t>
      </w:r>
      <w:proofErr w:type="gramEnd"/>
      <w:r>
        <w:t xml:space="preserve"> Определение недостоверности сведений, указанных в заявке, осуществляется на основе выявления несоответствия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12. Конкурсные заявки муниципальных образований, поданные в установленный срок и соответствующие форме конкурсных заявок муниципальных образований, утвержденной уполномоченными федеральными органами исполнительной власти, по соответствующим номинациям конкурса, направляются в конкурсную комиссию для подведения итогов конкурса.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Конкурсная комиссия с учетом предложений организаторов конкурса и в соответствии с методикой оценки конкурсных заявок муниципальных образований по каждой номинации конкурса определяет до 1 июля муниципальные образования, в конкурсных материалах которых отражены примеры лучшей муниципальной практики в Ленинградской области по соответствующим номинациям и категориям участников конкурса.</w:t>
      </w:r>
      <w:proofErr w:type="gramEnd"/>
    </w:p>
    <w:p w:rsidR="006400B2" w:rsidRDefault="006400B2">
      <w:pPr>
        <w:pStyle w:val="ConsPlusNormal"/>
        <w:jc w:val="both"/>
      </w:pPr>
      <w:r>
        <w:t xml:space="preserve">(в ред. Постановлений Правительства Ленинградской области от 14.07.2020 </w:t>
      </w:r>
      <w:hyperlink r:id="rId33">
        <w:r>
          <w:rPr>
            <w:color w:val="0000FF"/>
          </w:rPr>
          <w:t>N 494</w:t>
        </w:r>
      </w:hyperlink>
      <w:r>
        <w:t xml:space="preserve">, от 05.02.2025 </w:t>
      </w:r>
      <w:hyperlink r:id="rId34">
        <w:r>
          <w:rPr>
            <w:color w:val="0000FF"/>
          </w:rPr>
          <w:t>N 110</w:t>
        </w:r>
      </w:hyperlink>
      <w:r>
        <w:t>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Конкурсная комиссия определяет трех победителей конкурса в каждой номинации и в каждой категории участников конкурса, среди которых распределяются первое, второе и третье места победителей конкурса.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14. Подведение итогов регионального этапа конкурса оформляется решением конкурсной комиссии.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15. Победителям конкурса вручаются памятные дипломы и денежные премии.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Размер денежной премии по каждой номинации конкурса составляет: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а) в I категории участников конкурса: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первое место - 500 тыс. рублей;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б) во II категории участников конкурса: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первое место - 300 тыс. рублей.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Денежные премии предоставляются из областного бюджета Ленинградской области в </w:t>
      </w:r>
      <w:proofErr w:type="gramStart"/>
      <w:r>
        <w:t>виде</w:t>
      </w:r>
      <w:proofErr w:type="gramEnd"/>
      <w:r>
        <w:t xml:space="preserve"> дотаций соответствующим местным бюджетам.</w:t>
      </w:r>
    </w:p>
    <w:p w:rsidR="006400B2" w:rsidRDefault="006400B2">
      <w:pPr>
        <w:pStyle w:val="ConsPlusNormal"/>
        <w:jc w:val="both"/>
      </w:pPr>
      <w:r>
        <w:t xml:space="preserve">(п. 15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16. Конкурсные заявки муниципальных образований, признанных победителями регионального этапа конкурса, представляются в федеральную конкурсную комиссию по организации и проведению Всероссийского конкурса "Лучшая муниципальная практика".</w:t>
      </w:r>
    </w:p>
    <w:p w:rsidR="006400B2" w:rsidRDefault="006400B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Предоставление дотаций муниципальным образованиям осуществляется в соответствии со сводной бюджетной росписью областного бюджета Ленинградской области на текущий </w:t>
      </w:r>
      <w:r>
        <w:lastRenderedPageBreak/>
        <w:t>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Комитету.</w:t>
      </w:r>
      <w:proofErr w:type="gramEnd"/>
    </w:p>
    <w:p w:rsidR="006400B2" w:rsidRDefault="006400B2">
      <w:pPr>
        <w:pStyle w:val="ConsPlusNormal"/>
        <w:spacing w:before="220"/>
        <w:ind w:firstLine="540"/>
        <w:jc w:val="both"/>
      </w:pPr>
      <w:r>
        <w:t>Проект распоряжения Правительства Ленинградской области о распределении дотаций подготавливается Комитетом в течение 15 рабочих дней с даты подведения итогов регионального этапа конкурса.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Перечисление дотаций осуществляется Комитетом 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законодательством порядке в бюджеты муниципальных образований в течение 15 рабочих дней с даты принятия распоряжения Правительства Ленинградской области о распределении дотаций.</w:t>
      </w:r>
    </w:p>
    <w:p w:rsidR="006400B2" w:rsidRDefault="006400B2">
      <w:pPr>
        <w:pStyle w:val="ConsPlusNormal"/>
        <w:jc w:val="both"/>
      </w:pPr>
      <w:r>
        <w:t xml:space="preserve">(п. 17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 xml:space="preserve">18. Примеры лучшей муниципальной практики в Ленинградской области публикуются в соответствующих </w:t>
      </w:r>
      <w:proofErr w:type="gramStart"/>
      <w:r>
        <w:t>сборниках</w:t>
      </w:r>
      <w:proofErr w:type="gramEnd"/>
      <w:r>
        <w:t>, подготовка которых осуществляется органами исполнительной власти Ленинградской области, и размещаются в сети "Интернет".</w:t>
      </w:r>
    </w:p>
    <w:p w:rsidR="006400B2" w:rsidRDefault="006400B2">
      <w:pPr>
        <w:pStyle w:val="ConsPlusNormal"/>
        <w:spacing w:before="220"/>
        <w:ind w:firstLine="540"/>
        <w:jc w:val="both"/>
      </w:pPr>
      <w:r>
        <w:t>19. Информация о примерах лучшей муниципальной практики в Ленинградской области доводится Комитетом до сведения органов местного самоуправления Ленинградской области.</w:t>
      </w:r>
    </w:p>
    <w:p w:rsidR="006400B2" w:rsidRDefault="006400B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05.02.2025 N 110)</w:t>
      </w:r>
    </w:p>
    <w:p w:rsidR="006400B2" w:rsidRDefault="006400B2">
      <w:pPr>
        <w:pStyle w:val="ConsPlusNormal"/>
        <w:ind w:firstLine="540"/>
        <w:jc w:val="both"/>
      </w:pPr>
    </w:p>
    <w:p w:rsidR="006400B2" w:rsidRDefault="006400B2">
      <w:pPr>
        <w:pStyle w:val="ConsPlusNormal"/>
        <w:ind w:firstLine="540"/>
        <w:jc w:val="both"/>
      </w:pPr>
    </w:p>
    <w:p w:rsidR="006400B2" w:rsidRDefault="006400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36E" w:rsidRDefault="00FD636E"/>
    <w:sectPr w:rsidR="00FD636E" w:rsidSect="00BE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B2"/>
    <w:rsid w:val="006400B2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0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00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00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0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00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00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28617&amp;dst=100005" TargetMode="External"/><Relationship Id="rId13" Type="http://schemas.openxmlformats.org/officeDocument/2006/relationships/hyperlink" Target="https://login.consultant.ru/link/?req=doc&amp;base=SPB&amp;n=197970&amp;dst=100005" TargetMode="External"/><Relationship Id="rId18" Type="http://schemas.openxmlformats.org/officeDocument/2006/relationships/hyperlink" Target="https://login.consultant.ru/link/?req=doc&amp;base=SPB&amp;n=312580&amp;dst=100005" TargetMode="External"/><Relationship Id="rId26" Type="http://schemas.openxmlformats.org/officeDocument/2006/relationships/hyperlink" Target="https://login.consultant.ru/link/?req=doc&amp;base=SPB&amp;n=305813&amp;dst=10001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197970&amp;dst=100006" TargetMode="External"/><Relationship Id="rId34" Type="http://schemas.openxmlformats.org/officeDocument/2006/relationships/hyperlink" Target="https://login.consultant.ru/link/?req=doc&amp;base=SPB&amp;n=305813&amp;dst=100016" TargetMode="External"/><Relationship Id="rId7" Type="http://schemas.openxmlformats.org/officeDocument/2006/relationships/hyperlink" Target="https://login.consultant.ru/link/?req=doc&amp;base=SPB&amp;n=223579&amp;dst=100005" TargetMode="External"/><Relationship Id="rId12" Type="http://schemas.openxmlformats.org/officeDocument/2006/relationships/hyperlink" Target="https://login.consultant.ru/link/?req=doc&amp;base=SPB&amp;n=305813&amp;dst=100010" TargetMode="External"/><Relationship Id="rId17" Type="http://schemas.openxmlformats.org/officeDocument/2006/relationships/hyperlink" Target="https://login.consultant.ru/link/?req=doc&amp;base=SPB&amp;n=305813&amp;dst=100011" TargetMode="External"/><Relationship Id="rId25" Type="http://schemas.openxmlformats.org/officeDocument/2006/relationships/hyperlink" Target="https://login.consultant.ru/link/?req=doc&amp;base=SPB&amp;n=305813&amp;dst=100013" TargetMode="External"/><Relationship Id="rId33" Type="http://schemas.openxmlformats.org/officeDocument/2006/relationships/hyperlink" Target="https://login.consultant.ru/link/?req=doc&amp;base=SPB&amp;n=228617&amp;dst=100015" TargetMode="External"/><Relationship Id="rId38" Type="http://schemas.openxmlformats.org/officeDocument/2006/relationships/hyperlink" Target="https://login.consultant.ru/link/?req=doc&amp;base=SPB&amp;n=305813&amp;dst=1000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28617&amp;dst=100005" TargetMode="External"/><Relationship Id="rId20" Type="http://schemas.openxmlformats.org/officeDocument/2006/relationships/hyperlink" Target="https://login.consultant.ru/link/?req=doc&amp;base=SPB&amp;n=312580&amp;dst=100008" TargetMode="External"/><Relationship Id="rId29" Type="http://schemas.openxmlformats.org/officeDocument/2006/relationships/hyperlink" Target="https://login.consultant.ru/link/?req=doc&amp;base=SPB&amp;n=312580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37260&amp;dst=100058" TargetMode="External"/><Relationship Id="rId11" Type="http://schemas.openxmlformats.org/officeDocument/2006/relationships/hyperlink" Target="https://login.consultant.ru/link/?req=doc&amp;base=LAW&amp;n=505294&amp;dst=100030" TargetMode="External"/><Relationship Id="rId24" Type="http://schemas.openxmlformats.org/officeDocument/2006/relationships/hyperlink" Target="https://login.consultant.ru/link/?req=doc&amp;base=SPB&amp;n=305813&amp;dst=100012" TargetMode="External"/><Relationship Id="rId32" Type="http://schemas.openxmlformats.org/officeDocument/2006/relationships/hyperlink" Target="https://login.consultant.ru/link/?req=doc&amp;base=SPB&amp;n=305813&amp;dst=100015" TargetMode="External"/><Relationship Id="rId37" Type="http://schemas.openxmlformats.org/officeDocument/2006/relationships/hyperlink" Target="https://login.consultant.ru/link/?req=doc&amp;base=SPB&amp;n=305813&amp;dst=10002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197970&amp;dst=100005" TargetMode="External"/><Relationship Id="rId15" Type="http://schemas.openxmlformats.org/officeDocument/2006/relationships/hyperlink" Target="https://login.consultant.ru/link/?req=doc&amp;base=SPB&amp;n=223579&amp;dst=100005" TargetMode="External"/><Relationship Id="rId23" Type="http://schemas.openxmlformats.org/officeDocument/2006/relationships/hyperlink" Target="https://login.consultant.ru/link/?req=doc&amp;base=SPB&amp;n=305813&amp;dst=100012" TargetMode="External"/><Relationship Id="rId28" Type="http://schemas.openxmlformats.org/officeDocument/2006/relationships/hyperlink" Target="https://login.consultant.ru/link/?req=doc&amp;base=SPB&amp;n=312580&amp;dst=100011" TargetMode="External"/><Relationship Id="rId36" Type="http://schemas.openxmlformats.org/officeDocument/2006/relationships/hyperlink" Target="https://login.consultant.ru/link/?req=doc&amp;base=SPB&amp;n=305813&amp;dst=100025" TargetMode="External"/><Relationship Id="rId10" Type="http://schemas.openxmlformats.org/officeDocument/2006/relationships/hyperlink" Target="https://login.consultant.ru/link/?req=doc&amp;base=SPB&amp;n=312580&amp;dst=100005" TargetMode="External"/><Relationship Id="rId19" Type="http://schemas.openxmlformats.org/officeDocument/2006/relationships/hyperlink" Target="https://login.consultant.ru/link/?req=doc&amp;base=SPB&amp;n=312580&amp;dst=100006" TargetMode="External"/><Relationship Id="rId31" Type="http://schemas.openxmlformats.org/officeDocument/2006/relationships/hyperlink" Target="https://login.consultant.ru/link/?req=doc&amp;base=SPB&amp;n=312580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5813&amp;dst=100005" TargetMode="External"/><Relationship Id="rId14" Type="http://schemas.openxmlformats.org/officeDocument/2006/relationships/hyperlink" Target="https://login.consultant.ru/link/?req=doc&amp;base=SPB&amp;n=237260&amp;dst=100058" TargetMode="External"/><Relationship Id="rId22" Type="http://schemas.openxmlformats.org/officeDocument/2006/relationships/hyperlink" Target="https://login.consultant.ru/link/?req=doc&amp;base=SPB&amp;n=228617&amp;dst=100006" TargetMode="External"/><Relationship Id="rId27" Type="http://schemas.openxmlformats.org/officeDocument/2006/relationships/hyperlink" Target="https://login.consultant.ru/link/?req=doc&amp;base=SPB&amp;n=312580&amp;dst=100010" TargetMode="External"/><Relationship Id="rId30" Type="http://schemas.openxmlformats.org/officeDocument/2006/relationships/hyperlink" Target="https://login.consultant.ru/link/?req=doc&amp;base=SPB&amp;n=228617&amp;dst=100008" TargetMode="External"/><Relationship Id="rId35" Type="http://schemas.openxmlformats.org/officeDocument/2006/relationships/hyperlink" Target="https://login.consultant.ru/link/?req=doc&amp;base=SPB&amp;n=305813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Морозов</dc:creator>
  <cp:lastModifiedBy>Александр Юрьевич Морозов</cp:lastModifiedBy>
  <cp:revision>1</cp:revision>
  <dcterms:created xsi:type="dcterms:W3CDTF">2025-07-01T11:29:00Z</dcterms:created>
  <dcterms:modified xsi:type="dcterms:W3CDTF">2025-07-01T11:29:00Z</dcterms:modified>
</cp:coreProperties>
</file>