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2B" w:rsidRDefault="00787A2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87A2B" w:rsidRDefault="00787A2B">
      <w:pPr>
        <w:pStyle w:val="ConsPlusNormal"/>
        <w:outlineLvl w:val="0"/>
      </w:pPr>
    </w:p>
    <w:p w:rsidR="00787A2B" w:rsidRDefault="00787A2B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787A2B" w:rsidRDefault="00787A2B">
      <w:pPr>
        <w:pStyle w:val="ConsPlusTitle"/>
        <w:jc w:val="center"/>
      </w:pPr>
    </w:p>
    <w:p w:rsidR="00787A2B" w:rsidRDefault="00787A2B">
      <w:pPr>
        <w:pStyle w:val="ConsPlusTitle"/>
        <w:jc w:val="center"/>
      </w:pPr>
      <w:r>
        <w:t>ПОСТАНОВЛЕНИЕ</w:t>
      </w:r>
    </w:p>
    <w:p w:rsidR="00787A2B" w:rsidRDefault="00787A2B">
      <w:pPr>
        <w:pStyle w:val="ConsPlusTitle"/>
        <w:jc w:val="center"/>
      </w:pPr>
      <w:r>
        <w:t>от 19 июля 2017 г. N 276</w:t>
      </w:r>
    </w:p>
    <w:p w:rsidR="00787A2B" w:rsidRDefault="00787A2B">
      <w:pPr>
        <w:pStyle w:val="ConsPlusTitle"/>
        <w:jc w:val="center"/>
      </w:pPr>
    </w:p>
    <w:p w:rsidR="00787A2B" w:rsidRDefault="00787A2B">
      <w:pPr>
        <w:pStyle w:val="ConsPlusTitle"/>
        <w:jc w:val="center"/>
      </w:pPr>
      <w:r>
        <w:t>О ПРОВЕДЕНИИ РЕГИОНАЛЬНОГО ЭТАПА ВСЕРОССИЙСКОГО КОНКУРСА</w:t>
      </w:r>
    </w:p>
    <w:p w:rsidR="00787A2B" w:rsidRDefault="00787A2B">
      <w:pPr>
        <w:pStyle w:val="ConsPlusTitle"/>
        <w:jc w:val="center"/>
      </w:pPr>
      <w:r>
        <w:t xml:space="preserve">"ЛУЧШАЯ МУНИЦИПАЛЬНАЯ ПРАКТИКА" СРЕДИ </w:t>
      </w:r>
      <w:proofErr w:type="gramStart"/>
      <w:r>
        <w:t>МУНИЦИПАЛЬНЫХ</w:t>
      </w:r>
      <w:proofErr w:type="gramEnd"/>
    </w:p>
    <w:p w:rsidR="00787A2B" w:rsidRDefault="00787A2B">
      <w:pPr>
        <w:pStyle w:val="ConsPlusTitle"/>
        <w:jc w:val="center"/>
      </w:pPr>
      <w:r>
        <w:t>ОБРАЗОВАНИЙ ЛЕНИНГРАДСКОЙ ОБЛАСТИ</w:t>
      </w:r>
    </w:p>
    <w:p w:rsidR="00787A2B" w:rsidRDefault="00787A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A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A2B" w:rsidRDefault="00787A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A2B" w:rsidRDefault="00787A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A2B" w:rsidRDefault="00787A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A2B" w:rsidRDefault="00787A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787A2B" w:rsidRDefault="00787A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6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22.07.2019 </w:t>
            </w:r>
            <w:hyperlink r:id="rId7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10.03.2020 </w:t>
            </w:r>
            <w:hyperlink r:id="rId8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</w:p>
          <w:p w:rsidR="00787A2B" w:rsidRDefault="00787A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9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05.02.2025 </w:t>
            </w:r>
            <w:hyperlink r:id="rId10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A2B" w:rsidRDefault="00787A2B">
            <w:pPr>
              <w:pStyle w:val="ConsPlusNormal"/>
            </w:pPr>
          </w:p>
        </w:tc>
      </w:tr>
    </w:tbl>
    <w:p w:rsidR="00787A2B" w:rsidRDefault="00787A2B">
      <w:pPr>
        <w:pStyle w:val="ConsPlusNormal"/>
        <w:jc w:val="center"/>
      </w:pPr>
    </w:p>
    <w:p w:rsidR="00787A2B" w:rsidRDefault="00787A2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года N 815 "О Всероссийском конкурсе "Лучшая муниципальная практика", в целях выявления, поощрения и распространения применения примеров лучшей практики в деятельности органов местного самоуправления муниципальных образований Ленинградской области по организации муниципального управления и решению вопросов местного значения муниципальных образований Правительство Ленинградской области постановляет:</w:t>
      </w:r>
      <w:proofErr w:type="gramEnd"/>
    </w:p>
    <w:p w:rsidR="00787A2B" w:rsidRDefault="00787A2B">
      <w:pPr>
        <w:pStyle w:val="ConsPlusNormal"/>
        <w:ind w:firstLine="540"/>
        <w:jc w:val="both"/>
      </w:pPr>
    </w:p>
    <w:p w:rsidR="00787A2B" w:rsidRDefault="00787A2B">
      <w:pPr>
        <w:pStyle w:val="ConsPlusNormal"/>
        <w:ind w:firstLine="540"/>
        <w:jc w:val="both"/>
      </w:pPr>
      <w:r>
        <w:t>1. Учредить региональный этап Всероссийского конкурса "Лучшая муниципальная практика" среди муниципальных образований Ленинградской области.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 проведении регионального этапа Всероссийского конкурса "Лучшая муниципальная практика" среди муниципальных образований Ленинградской области.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Ленинградской области принять участие в региональном этапе Всероссийского конкурса "Лучшая муниципальная практика" среди муниципальных образований Ленинградской области.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4. Комитету информационно-аналитического обеспечения и протокола Губернатора Ленинградской области обеспечить своевременное направление в средства массовой информации сведений о ходе проведения и результатах регионального этапа Всероссийского конкурса "Лучшая муниципальная практика" среди муниципальных образований Ленинградской области.</w:t>
      </w:r>
    </w:p>
    <w:p w:rsidR="00787A2B" w:rsidRDefault="00787A2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5. Определить комитет по местному самоуправлению, межнациональным и межконфессиональным отношениям Ленинградской области ответственным за координацию мероприятий по подготовке и проведению регионального этапа Всероссийского конкурса "Лучшая муниципальная практика" среди муниципальных образований Ленинградской области.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по внутренней политике.</w:t>
      </w:r>
    </w:p>
    <w:p w:rsidR="00787A2B" w:rsidRDefault="00787A2B">
      <w:pPr>
        <w:pStyle w:val="ConsPlusNormal"/>
        <w:ind w:firstLine="540"/>
        <w:jc w:val="both"/>
      </w:pPr>
    </w:p>
    <w:p w:rsidR="00787A2B" w:rsidRDefault="00787A2B">
      <w:pPr>
        <w:pStyle w:val="ConsPlusNormal"/>
        <w:jc w:val="right"/>
      </w:pPr>
      <w:r>
        <w:t>Губернатор</w:t>
      </w:r>
    </w:p>
    <w:p w:rsidR="00787A2B" w:rsidRDefault="00787A2B">
      <w:pPr>
        <w:pStyle w:val="ConsPlusNormal"/>
        <w:jc w:val="right"/>
      </w:pPr>
      <w:r>
        <w:t>Ленинградской области</w:t>
      </w:r>
    </w:p>
    <w:p w:rsidR="00787A2B" w:rsidRDefault="00787A2B">
      <w:pPr>
        <w:pStyle w:val="ConsPlusNormal"/>
        <w:jc w:val="right"/>
      </w:pPr>
      <w:r>
        <w:t>А.Дрозденко</w:t>
      </w:r>
    </w:p>
    <w:p w:rsidR="00787A2B" w:rsidRDefault="00787A2B">
      <w:pPr>
        <w:pStyle w:val="ConsPlusNormal"/>
        <w:jc w:val="right"/>
      </w:pPr>
    </w:p>
    <w:p w:rsidR="00787A2B" w:rsidRDefault="00787A2B">
      <w:pPr>
        <w:pStyle w:val="ConsPlusNormal"/>
        <w:jc w:val="right"/>
      </w:pPr>
    </w:p>
    <w:p w:rsidR="00787A2B" w:rsidRDefault="00787A2B">
      <w:pPr>
        <w:pStyle w:val="ConsPlusNormal"/>
        <w:jc w:val="right"/>
      </w:pPr>
    </w:p>
    <w:p w:rsidR="00787A2B" w:rsidRDefault="00787A2B">
      <w:pPr>
        <w:pStyle w:val="ConsPlusNormal"/>
        <w:jc w:val="right"/>
      </w:pPr>
    </w:p>
    <w:p w:rsidR="00787A2B" w:rsidRDefault="00787A2B">
      <w:pPr>
        <w:pStyle w:val="ConsPlusNormal"/>
        <w:jc w:val="right"/>
      </w:pPr>
    </w:p>
    <w:p w:rsidR="00787A2B" w:rsidRDefault="00787A2B">
      <w:pPr>
        <w:pStyle w:val="ConsPlusNormal"/>
        <w:jc w:val="right"/>
        <w:outlineLvl w:val="0"/>
      </w:pPr>
      <w:r>
        <w:t>УТВЕРЖДЕНО</w:t>
      </w:r>
    </w:p>
    <w:p w:rsidR="00787A2B" w:rsidRDefault="00787A2B">
      <w:pPr>
        <w:pStyle w:val="ConsPlusNormal"/>
        <w:jc w:val="right"/>
      </w:pPr>
      <w:r>
        <w:t>постановлением Правительства</w:t>
      </w:r>
    </w:p>
    <w:p w:rsidR="00787A2B" w:rsidRDefault="00787A2B">
      <w:pPr>
        <w:pStyle w:val="ConsPlusNormal"/>
        <w:jc w:val="right"/>
      </w:pPr>
      <w:r>
        <w:t>Ленинградской области</w:t>
      </w:r>
    </w:p>
    <w:p w:rsidR="00787A2B" w:rsidRDefault="00787A2B">
      <w:pPr>
        <w:pStyle w:val="ConsPlusNormal"/>
        <w:jc w:val="right"/>
      </w:pPr>
      <w:r>
        <w:t>от 19.07.2017 N 276</w:t>
      </w:r>
    </w:p>
    <w:p w:rsidR="00787A2B" w:rsidRDefault="00787A2B">
      <w:pPr>
        <w:pStyle w:val="ConsPlusNormal"/>
        <w:jc w:val="right"/>
      </w:pPr>
      <w:r>
        <w:t>(приложение)</w:t>
      </w:r>
    </w:p>
    <w:p w:rsidR="00787A2B" w:rsidRDefault="00787A2B">
      <w:pPr>
        <w:pStyle w:val="ConsPlusNormal"/>
        <w:ind w:firstLine="540"/>
        <w:jc w:val="both"/>
      </w:pPr>
    </w:p>
    <w:p w:rsidR="00787A2B" w:rsidRDefault="00787A2B">
      <w:pPr>
        <w:pStyle w:val="ConsPlusTitle"/>
        <w:jc w:val="center"/>
      </w:pPr>
      <w:bookmarkStart w:id="0" w:name="P38"/>
      <w:bookmarkEnd w:id="0"/>
      <w:r>
        <w:t>ПОЛОЖЕНИЕ</w:t>
      </w:r>
    </w:p>
    <w:p w:rsidR="00787A2B" w:rsidRDefault="00787A2B">
      <w:pPr>
        <w:pStyle w:val="ConsPlusTitle"/>
        <w:jc w:val="center"/>
      </w:pPr>
      <w:r>
        <w:t>О ПРОВЕДЕНИИ РЕГИОНАЛЬНОГО ЭТАПА ВСЕРОССИЙСКОГО КОНКУРСА</w:t>
      </w:r>
    </w:p>
    <w:p w:rsidR="00787A2B" w:rsidRDefault="00787A2B">
      <w:pPr>
        <w:pStyle w:val="ConsPlusTitle"/>
        <w:jc w:val="center"/>
      </w:pPr>
      <w:r>
        <w:t xml:space="preserve">"ЛУЧШАЯ МУНИЦИПАЛЬНАЯ ПРАКТИКА" СРЕДИ </w:t>
      </w:r>
      <w:proofErr w:type="gramStart"/>
      <w:r>
        <w:t>МУНИЦИПАЛЬНЫХ</w:t>
      </w:r>
      <w:proofErr w:type="gramEnd"/>
    </w:p>
    <w:p w:rsidR="00787A2B" w:rsidRDefault="00787A2B">
      <w:pPr>
        <w:pStyle w:val="ConsPlusTitle"/>
        <w:jc w:val="center"/>
      </w:pPr>
      <w:r>
        <w:t>ОБРАЗОВАНИЙ ЛЕНИНГРАДСКОЙ ОБЛАСТИ</w:t>
      </w:r>
    </w:p>
    <w:p w:rsidR="00787A2B" w:rsidRDefault="00787A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A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A2B" w:rsidRDefault="00787A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A2B" w:rsidRDefault="00787A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A2B" w:rsidRDefault="00787A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A2B" w:rsidRDefault="00787A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787A2B" w:rsidRDefault="00787A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13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22.07.2019 </w:t>
            </w:r>
            <w:hyperlink r:id="rId14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10.03.2020 </w:t>
            </w:r>
            <w:hyperlink r:id="rId15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</w:p>
          <w:p w:rsidR="00787A2B" w:rsidRDefault="00787A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16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05.02.2025 </w:t>
            </w:r>
            <w:hyperlink r:id="rId17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A2B" w:rsidRDefault="00787A2B">
            <w:pPr>
              <w:pStyle w:val="ConsPlusNormal"/>
            </w:pPr>
          </w:p>
        </w:tc>
      </w:tr>
    </w:tbl>
    <w:p w:rsidR="00787A2B" w:rsidRDefault="00787A2B">
      <w:pPr>
        <w:pStyle w:val="ConsPlusNormal"/>
        <w:jc w:val="center"/>
      </w:pPr>
    </w:p>
    <w:p w:rsidR="00787A2B" w:rsidRDefault="00787A2B">
      <w:pPr>
        <w:pStyle w:val="ConsPlusNormal"/>
        <w:ind w:firstLine="540"/>
        <w:jc w:val="both"/>
      </w:pPr>
      <w:r>
        <w:t>1. Настоящее Положение определяет порядок организации и проведения в Ленинградской области регионального этапа Всероссийского конкурса "Лучшая муниципальная практика" среди муниципальных образований Ленинградской области (далее - конкурс).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Региональный этап конкурса организуется и проводится ежегодно в целях выявления, поощрения и распространения применения примеров лучшей практики деятельности органов местного самоуправления муниципальных образований Ленинградской области по организации муниципального управления и решению вопросов местного значения муниципальных образований (далее - лучшая муниципальная практика в Ленинградской области), а также отбора кандидатов от Ленинградской области для дальнейшего участия в федеральном этапе конкурса.</w:t>
      </w:r>
      <w:proofErr w:type="gramEnd"/>
    </w:p>
    <w:p w:rsidR="00787A2B" w:rsidRDefault="00787A2B">
      <w:pPr>
        <w:pStyle w:val="ConsPlusNormal"/>
        <w:spacing w:before="220"/>
        <w:ind w:firstLine="540"/>
        <w:jc w:val="both"/>
      </w:pPr>
      <w:r>
        <w:t>3. Конкурс проводится по следующим номинациям, отражающим практику организации муниципального управления и решения вопросов местного значения муниципальных образований Ленинградской области (далее - номинации):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а)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в)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уровне;</w:t>
      </w:r>
    </w:p>
    <w:p w:rsidR="00787A2B" w:rsidRDefault="00787A2B">
      <w:pPr>
        <w:pStyle w:val="ConsPlusNormal"/>
        <w:jc w:val="both"/>
      </w:pPr>
      <w:r>
        <w:t xml:space="preserve">(пп. "г"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30.03.2018 N 111)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д) модернизация городского хозяйства посредством внедрения цифровых технологий и платформенных решений ("умный город").</w:t>
      </w:r>
    </w:p>
    <w:p w:rsidR="00787A2B" w:rsidRDefault="00787A2B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14.07.2020 N 494)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 xml:space="preserve">4. В региональном этапе конкурса вправе участвовать муниципальный округ, городской округ, городские и сельские поселения Ленинградской области, распределяемые по следующим </w:t>
      </w:r>
      <w:r>
        <w:lastRenderedPageBreak/>
        <w:t>категориям участников конкурса:</w:t>
      </w:r>
    </w:p>
    <w:p w:rsidR="00787A2B" w:rsidRDefault="00787A2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I категория - муниципальный округ, городской округ и городские поселения Ленинградской области;</w:t>
      </w:r>
    </w:p>
    <w:p w:rsidR="00787A2B" w:rsidRDefault="00787A2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II категория - сельские поселения Ленинградской области.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Информация об организации и проведении регионального этапа конкурса размещается на официальном сайте Администрации Ленинградской области в информационно-телекоммуникационной сети "Интернет" (далее - сеть "Интернет") и направляется в Ассоциацию "Совет муниципальных образований Ленинградской области", администрациям муниципальных районов, муниципального округа и городского округа Ленинградской области для обеспечения возможности размещения ими указанной информации на своих сайтах в сети "Интернет".</w:t>
      </w:r>
      <w:proofErr w:type="gramEnd"/>
    </w:p>
    <w:p w:rsidR="00787A2B" w:rsidRDefault="00787A2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В информации об организации и проведении конкурса указываются: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наименование конкурса;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наименование номинаций конкурса;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номер и наименование категории участников конкурса;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дата и время начала и окончания приема конкурсных заявок;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место приема конкурсных заявок, контактные телефоны.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6. Организаторами конкурса по номинациям являются:</w:t>
      </w:r>
    </w:p>
    <w:p w:rsidR="00787A2B" w:rsidRDefault="00787A2B">
      <w:pPr>
        <w:pStyle w:val="ConsPlusNormal"/>
        <w:spacing w:before="220"/>
        <w:ind w:firstLine="540"/>
        <w:jc w:val="both"/>
      </w:pPr>
      <w:proofErr w:type="gramStart"/>
      <w:r>
        <w:t>а) комитет по местному самоуправлению, межнациональным и межконфессиональным отношениям Ленинградской области (далее - Комитет) -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формах, укрепление межнационального мира и согласия, реализация иных мероприятий в сфере национальной политики на муниципальном уровне;</w:t>
      </w:r>
      <w:proofErr w:type="gramEnd"/>
    </w:p>
    <w:p w:rsidR="00787A2B" w:rsidRDefault="00787A2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б) Комитет экономического развития и инвестиционной деятельности Ленинградской области - муниципальная экономическая политика и управление муниципальными финансами;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в) Комитет градостроительной политики Ленинградской области совместно с комитетом по жилищно-коммунальному хозяйству Ленинградской области -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г) комитет по жилищно-коммунальному хозяйству Ленинградской области по согласованию с Комитетом цифрового развития Ленинградской области - модернизация городского хозяйства посредством внедрения цифровых технологий и платформенных решений ("умный город").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Организаторы конкурса для оценки конкурсных заявок могут привлекать иные органы исполнительной власти Ленинградской области.</w:t>
      </w:r>
    </w:p>
    <w:p w:rsidR="00787A2B" w:rsidRDefault="00787A2B">
      <w:pPr>
        <w:pStyle w:val="ConsPlusNormal"/>
        <w:jc w:val="both"/>
      </w:pPr>
      <w:r>
        <w:t xml:space="preserve">(п. 6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14.07.2020 N 494)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 xml:space="preserve">7. Подведение итогов конкурса осуществляется конкурсной комиссией по подведению итогов регионального этапа Всероссийского конкурса "Лучшая муниципальная практика" среди </w:t>
      </w:r>
      <w:r>
        <w:lastRenderedPageBreak/>
        <w:t>муниципальных образований Ленинградской области (далее - конкурсная комиссия).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8. Организаторы конкурса в соответствии с номинациями:</w:t>
      </w:r>
    </w:p>
    <w:p w:rsidR="00787A2B" w:rsidRDefault="00787A2B">
      <w:pPr>
        <w:pStyle w:val="ConsPlusNormal"/>
        <w:spacing w:before="220"/>
        <w:ind w:firstLine="540"/>
        <w:jc w:val="both"/>
      </w:pPr>
      <w:proofErr w:type="gramStart"/>
      <w:r>
        <w:t>а) осуществляют прием и рассмотрение конкурсных заявок муниципальных образований;</w:t>
      </w:r>
      <w:proofErr w:type="gramEnd"/>
    </w:p>
    <w:p w:rsidR="00787A2B" w:rsidRDefault="00787A2B">
      <w:pPr>
        <w:pStyle w:val="ConsPlusNormal"/>
        <w:spacing w:before="220"/>
        <w:ind w:firstLine="540"/>
        <w:jc w:val="both"/>
      </w:pPr>
      <w:r>
        <w:t>б) запрашивают в пределах своей компетенц</w:t>
      </w:r>
      <w:proofErr w:type="gramStart"/>
      <w:r>
        <w:t>ии у о</w:t>
      </w:r>
      <w:proofErr w:type="gramEnd"/>
      <w:r>
        <w:t>рганов государственной власти Ленинградской области, органов местного самоуправления, иных органов и организаций необходимые для рассмотрения и оценки конкурсных заявок документы, материалы и информацию, а также получают от органов местного самоуправления пояснения по представленным конкурсным заявкам муниципальных образований;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в) проводят проверку достоверности и действительности сведений, содержащихся в представленной конкурсной заявке муниципального образования, при необходимости привлекают независимых экспертов;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г) принимают решение о допуске конкурсной заявки к дальнейшим этапам конкурса или об отклонении конкурсной заявки муниципального образования;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д) осуществляют балльную оценку конкурсных заявок муниципальных образований в соответствии с методиками оценки конкурсных заявок муниципальных образований, утвержденными уполномоченными федеральными органами исполнительной власти, по соответствующим номинациям и категориям участников конкурса;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е) вносят в конкурсную комиссию предложения по определению победителей конкурса по номинациям и категориям участников конкурса;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ж) организуют направление конкурсных заявок муниципальных образований - победителей конкурса для участия в федеральном этапе конкурса;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з) обобщают и распространяют выявленные по итогам конкурса примеры лучшей муниципальной практики в Ленинградской области.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9. Конкурсные заявки муниципальных образований, подготовленные по формам, утвержденным уполномоченными федеральными органами исполнительной власти, представляются организаторам конкурса по соответствующим номинациям до 1 июня.</w:t>
      </w:r>
    </w:p>
    <w:p w:rsidR="00787A2B" w:rsidRDefault="00787A2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Конкурсные заявки муниципальных образований представляются с сопроводительным письмом, подписанным главой муниципального образования, с указанием номинации и категории участников конкурса.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Муниципальное образование вправе подавать конкурсные заявки по всем номинациям конкурса.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10. Рассмотрение конкурсных заявок муниципальных образований осуществляется в соответствии с методиками оценки конкурсных заявок муниципальных образований, утвержденными уполномоченными федеральными органами исполнительной власти (далее - методика оценки конкурсных заявок муниципальных образований), по соответствующим номинациям.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 xml:space="preserve">11. Конкурсная заявка муниципального образования может быть отклонена в случае представления с нарушением установленных сроков, оформления с нарушением установленных федеральным органом исполнительной власти требований к формам конкурсных заявок муниципальных образований, а также указания недостоверных сведений. Определение недостоверности сведений, указанных в заявке, осуществляется на основе выявления </w:t>
      </w:r>
      <w:r>
        <w:lastRenderedPageBreak/>
        <w:t>несоответствия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12. Конкурсные заявки муниципальных образований, поданные в установленный срок и соответствующие форме конкурсных заявок муниципальных образований, утвержденной уполномоченными федеральными органами исполнительной власти, по соответствующим номинациям конкурса, направляются в конкурсную комиссию для подведения итогов конкурса.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13. Конкурсная комиссия с учетом предложений организаторов конкурса и в соответствии с методикой оценки конкурсных заявок муниципальных образований по каждой номинации конкурса определяет до 1 июля муниципальные образования, в конкурсных материалах которых отражены примеры лучшей муниципальной практики в Ленинградской области по соответствующим номинациям и категориям участников конкурса.</w:t>
      </w:r>
    </w:p>
    <w:p w:rsidR="00787A2B" w:rsidRDefault="00787A2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14.07.2020 </w:t>
      </w:r>
      <w:hyperlink r:id="rId26">
        <w:r>
          <w:rPr>
            <w:color w:val="0000FF"/>
          </w:rPr>
          <w:t>N 494</w:t>
        </w:r>
      </w:hyperlink>
      <w:r>
        <w:t xml:space="preserve">, от 05.02.2025 </w:t>
      </w:r>
      <w:hyperlink r:id="rId27">
        <w:r>
          <w:rPr>
            <w:color w:val="0000FF"/>
          </w:rPr>
          <w:t>N 110</w:t>
        </w:r>
      </w:hyperlink>
      <w:r>
        <w:t>)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Конкурсная комиссия определяет трех победителей конкурса в каждой номинации и в каждой категории участников конкурса, среди которых распределяются первое, второе и третье места победителей конкурса.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14. Подведение итогов регионального этапа конкурса оформляется решением конкурсной комиссии.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15. Победителям конкурса вручаются памятные дипломы и денежные премии.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Размер денежной премии по каждой номинации конкурса составляет: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а) в I категории участников конкурса: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первое место - 500 тыс. рублей;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б) во II категории участников конкурса: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первое место - 300 тыс. рублей.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Денежные премии предоставляются из областного бюджета Ленинградской области в виде дотаций соответствующим местным бюджетам.</w:t>
      </w:r>
    </w:p>
    <w:p w:rsidR="00787A2B" w:rsidRDefault="00787A2B">
      <w:pPr>
        <w:pStyle w:val="ConsPlusNormal"/>
        <w:jc w:val="both"/>
      </w:pPr>
      <w:r>
        <w:t xml:space="preserve">(п. 15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16. Конкурсные заявки муниципальных образований, признанных победителями регионального этапа конкурса, представляются в федеральную конкурсную комиссию по организации и проведению Всероссийского конкурса "Лучшая муниципальная практика".</w:t>
      </w:r>
    </w:p>
    <w:p w:rsidR="00787A2B" w:rsidRDefault="00787A2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17. Предоставление дотаций муниципальным образованиям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 xml:space="preserve">Проект распоряжения Правительства Ленинградской области о распределении дотаций подготавливается Комитетом в течение 15 рабочих дней </w:t>
      </w:r>
      <w:proofErr w:type="gramStart"/>
      <w:r>
        <w:t>с даты подведения</w:t>
      </w:r>
      <w:proofErr w:type="gramEnd"/>
      <w:r>
        <w:t xml:space="preserve"> итогов регионального этапа конкурса.</w:t>
      </w:r>
    </w:p>
    <w:p w:rsidR="00787A2B" w:rsidRDefault="00787A2B">
      <w:pPr>
        <w:pStyle w:val="ConsPlusNormal"/>
        <w:spacing w:before="220"/>
        <w:ind w:firstLine="540"/>
        <w:jc w:val="both"/>
      </w:pPr>
      <w:proofErr w:type="gramStart"/>
      <w:r>
        <w:t xml:space="preserve">Перечисление дотаций осуществляется Комитетом на счета, открытые территориальным органом Федерального казначейства для учета поступлений и их распределения между </w:t>
      </w:r>
      <w:r>
        <w:lastRenderedPageBreak/>
        <w:t>бюджетами бюджетной системы Российской Федерации, для последующего перечисления в установленном законодательством порядке в бюджеты муниципальных образований в течение 15 рабочих дней с даты принятия распоряжения Правительства Ленинградской области о распределении дотаций.</w:t>
      </w:r>
      <w:proofErr w:type="gramEnd"/>
    </w:p>
    <w:p w:rsidR="00787A2B" w:rsidRDefault="00787A2B">
      <w:pPr>
        <w:pStyle w:val="ConsPlusNormal"/>
        <w:jc w:val="both"/>
      </w:pPr>
      <w:r>
        <w:t xml:space="preserve">(п. 17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18. Примеры лучшей муниципальной практики в Ленинградской области публикуются в соответствующих сборниках, подготовка которых осуществляется органами исполнительной власти Ленинградской области, и размещаются в сети "Интернет".</w:t>
      </w:r>
    </w:p>
    <w:p w:rsidR="00787A2B" w:rsidRDefault="00787A2B">
      <w:pPr>
        <w:pStyle w:val="ConsPlusNormal"/>
        <w:spacing w:before="220"/>
        <w:ind w:firstLine="540"/>
        <w:jc w:val="both"/>
      </w:pPr>
      <w:r>
        <w:t>19. Информация о примерах лучшей муниципальной практики в Ленинградской области доводится Комитетом до сведения органов местного самоуправления Ленинградской области.</w:t>
      </w:r>
    </w:p>
    <w:p w:rsidR="00787A2B" w:rsidRDefault="00787A2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787A2B" w:rsidRDefault="00787A2B">
      <w:pPr>
        <w:pStyle w:val="ConsPlusNormal"/>
        <w:ind w:firstLine="540"/>
        <w:jc w:val="both"/>
      </w:pPr>
    </w:p>
    <w:p w:rsidR="00787A2B" w:rsidRDefault="00787A2B">
      <w:pPr>
        <w:pStyle w:val="ConsPlusNormal"/>
        <w:ind w:firstLine="540"/>
        <w:jc w:val="both"/>
      </w:pPr>
    </w:p>
    <w:p w:rsidR="00787A2B" w:rsidRDefault="00787A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71F" w:rsidRDefault="00787A2B">
      <w:bookmarkStart w:id="1" w:name="_GoBack"/>
      <w:bookmarkEnd w:id="1"/>
    </w:p>
    <w:sectPr w:rsidR="0079171F" w:rsidSect="00AD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2B"/>
    <w:rsid w:val="00787A2B"/>
    <w:rsid w:val="00B705E7"/>
    <w:rsid w:val="00C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A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7A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A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A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7A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A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197970&amp;dst=100005" TargetMode="External"/><Relationship Id="rId18" Type="http://schemas.openxmlformats.org/officeDocument/2006/relationships/hyperlink" Target="https://login.consultant.ru/link/?req=doc&amp;base=SPB&amp;n=197970&amp;dst=100006" TargetMode="External"/><Relationship Id="rId26" Type="http://schemas.openxmlformats.org/officeDocument/2006/relationships/hyperlink" Target="https://login.consultant.ru/link/?req=doc&amp;base=SPB&amp;n=228617&amp;dst=100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305813&amp;dst=100012" TargetMode="External"/><Relationship Id="rId7" Type="http://schemas.openxmlformats.org/officeDocument/2006/relationships/hyperlink" Target="https://login.consultant.ru/link/?req=doc&amp;base=SPB&amp;n=237260&amp;dst=100058" TargetMode="External"/><Relationship Id="rId12" Type="http://schemas.openxmlformats.org/officeDocument/2006/relationships/hyperlink" Target="https://login.consultant.ru/link/?req=doc&amp;base=SPB&amp;n=305813&amp;dst=100010" TargetMode="External"/><Relationship Id="rId17" Type="http://schemas.openxmlformats.org/officeDocument/2006/relationships/hyperlink" Target="https://login.consultant.ru/link/?req=doc&amp;base=SPB&amp;n=305813&amp;dst=100011" TargetMode="External"/><Relationship Id="rId25" Type="http://schemas.openxmlformats.org/officeDocument/2006/relationships/hyperlink" Target="https://login.consultant.ru/link/?req=doc&amp;base=SPB&amp;n=305813&amp;dst=100015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28617&amp;dst=100005" TargetMode="External"/><Relationship Id="rId20" Type="http://schemas.openxmlformats.org/officeDocument/2006/relationships/hyperlink" Target="https://login.consultant.ru/link/?req=doc&amp;base=SPB&amp;n=305813&amp;dst=100012" TargetMode="External"/><Relationship Id="rId29" Type="http://schemas.openxmlformats.org/officeDocument/2006/relationships/hyperlink" Target="https://login.consultant.ru/link/?req=doc&amp;base=SPB&amp;n=305813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97970&amp;dst=100005" TargetMode="External"/><Relationship Id="rId11" Type="http://schemas.openxmlformats.org/officeDocument/2006/relationships/hyperlink" Target="https://login.consultant.ru/link/?req=doc&amp;base=LAW&amp;n=505294&amp;dst=100030" TargetMode="External"/><Relationship Id="rId24" Type="http://schemas.openxmlformats.org/officeDocument/2006/relationships/hyperlink" Target="https://login.consultant.ru/link/?req=doc&amp;base=SPB&amp;n=228617&amp;dst=10000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23579&amp;dst=100005" TargetMode="External"/><Relationship Id="rId23" Type="http://schemas.openxmlformats.org/officeDocument/2006/relationships/hyperlink" Target="https://login.consultant.ru/link/?req=doc&amp;base=SPB&amp;n=305813&amp;dst=100014" TargetMode="External"/><Relationship Id="rId28" Type="http://schemas.openxmlformats.org/officeDocument/2006/relationships/hyperlink" Target="https://login.consultant.ru/link/?req=doc&amp;base=SPB&amp;n=305813&amp;dst=100017" TargetMode="External"/><Relationship Id="rId10" Type="http://schemas.openxmlformats.org/officeDocument/2006/relationships/hyperlink" Target="https://login.consultant.ru/link/?req=doc&amp;base=SPB&amp;n=305813&amp;dst=100005" TargetMode="External"/><Relationship Id="rId19" Type="http://schemas.openxmlformats.org/officeDocument/2006/relationships/hyperlink" Target="https://login.consultant.ru/link/?req=doc&amp;base=SPB&amp;n=228617&amp;dst=100006" TargetMode="External"/><Relationship Id="rId31" Type="http://schemas.openxmlformats.org/officeDocument/2006/relationships/hyperlink" Target="https://login.consultant.ru/link/?req=doc&amp;base=SPB&amp;n=305813&amp;dst=1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28617&amp;dst=100005" TargetMode="External"/><Relationship Id="rId14" Type="http://schemas.openxmlformats.org/officeDocument/2006/relationships/hyperlink" Target="https://login.consultant.ru/link/?req=doc&amp;base=SPB&amp;n=237260&amp;dst=100058" TargetMode="External"/><Relationship Id="rId22" Type="http://schemas.openxmlformats.org/officeDocument/2006/relationships/hyperlink" Target="https://login.consultant.ru/link/?req=doc&amp;base=SPB&amp;n=305813&amp;dst=100013" TargetMode="External"/><Relationship Id="rId27" Type="http://schemas.openxmlformats.org/officeDocument/2006/relationships/hyperlink" Target="https://login.consultant.ru/link/?req=doc&amp;base=SPB&amp;n=305813&amp;dst=100016" TargetMode="External"/><Relationship Id="rId30" Type="http://schemas.openxmlformats.org/officeDocument/2006/relationships/hyperlink" Target="https://login.consultant.ru/link/?req=doc&amp;base=SPB&amp;n=305813&amp;dst=100026" TargetMode="External"/><Relationship Id="rId8" Type="http://schemas.openxmlformats.org/officeDocument/2006/relationships/hyperlink" Target="https://login.consultant.ru/link/?req=doc&amp;base=SPB&amp;n=22357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 Кривенко</dc:creator>
  <cp:lastModifiedBy>Александр Валерьевич Кривенко</cp:lastModifiedBy>
  <cp:revision>1</cp:revision>
  <dcterms:created xsi:type="dcterms:W3CDTF">2025-06-17T11:06:00Z</dcterms:created>
  <dcterms:modified xsi:type="dcterms:W3CDTF">2025-06-17T11:06:00Z</dcterms:modified>
</cp:coreProperties>
</file>