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56" w:rsidRPr="00B61C0A" w:rsidRDefault="00726056" w:rsidP="00726056">
      <w:pPr>
        <w:tabs>
          <w:tab w:val="left" w:pos="3893"/>
        </w:tabs>
        <w:ind w:left="9540"/>
        <w:jc w:val="right"/>
        <w:rPr>
          <w:sz w:val="28"/>
          <w:szCs w:val="28"/>
        </w:rPr>
      </w:pPr>
      <w:r w:rsidRPr="00B61C0A">
        <w:rPr>
          <w:sz w:val="28"/>
          <w:szCs w:val="28"/>
        </w:rPr>
        <w:t>Приложение 2</w:t>
      </w:r>
    </w:p>
    <w:p w:rsidR="00726056" w:rsidRPr="00B61C0A" w:rsidRDefault="00726056" w:rsidP="00726056">
      <w:pPr>
        <w:jc w:val="right"/>
        <w:rPr>
          <w:rFonts w:eastAsiaTheme="minorHAnsi"/>
          <w:sz w:val="28"/>
          <w:szCs w:val="28"/>
        </w:rPr>
      </w:pPr>
      <w:r w:rsidRPr="00B61C0A">
        <w:rPr>
          <w:rFonts w:eastAsiaTheme="minorHAnsi"/>
          <w:sz w:val="28"/>
          <w:szCs w:val="28"/>
        </w:rPr>
        <w:t>к распоряжению комитета по местному</w:t>
      </w:r>
    </w:p>
    <w:p w:rsidR="00726056" w:rsidRPr="00B61C0A" w:rsidRDefault="00726056" w:rsidP="00726056">
      <w:pPr>
        <w:jc w:val="right"/>
        <w:rPr>
          <w:rFonts w:eastAsiaTheme="minorHAnsi"/>
          <w:sz w:val="28"/>
          <w:szCs w:val="28"/>
        </w:rPr>
      </w:pPr>
      <w:r w:rsidRPr="00B61C0A">
        <w:rPr>
          <w:rFonts w:eastAsiaTheme="minorHAnsi"/>
          <w:sz w:val="28"/>
          <w:szCs w:val="28"/>
        </w:rPr>
        <w:t xml:space="preserve">самоуправлению, </w:t>
      </w:r>
      <w:proofErr w:type="gramStart"/>
      <w:r w:rsidRPr="00B61C0A">
        <w:rPr>
          <w:rFonts w:eastAsiaTheme="minorHAnsi"/>
          <w:sz w:val="28"/>
          <w:szCs w:val="28"/>
        </w:rPr>
        <w:t>межнациональным</w:t>
      </w:r>
      <w:proofErr w:type="gramEnd"/>
    </w:p>
    <w:p w:rsidR="00726056" w:rsidRPr="00B61C0A" w:rsidRDefault="00726056" w:rsidP="00726056">
      <w:pPr>
        <w:jc w:val="right"/>
        <w:rPr>
          <w:rFonts w:eastAsiaTheme="minorHAnsi"/>
          <w:sz w:val="28"/>
          <w:szCs w:val="28"/>
        </w:rPr>
      </w:pPr>
      <w:r w:rsidRPr="00B61C0A">
        <w:rPr>
          <w:rFonts w:eastAsiaTheme="minorHAnsi"/>
          <w:sz w:val="28"/>
          <w:szCs w:val="28"/>
        </w:rPr>
        <w:t>и межконфессиональным отношениям</w:t>
      </w:r>
    </w:p>
    <w:p w:rsidR="00726056" w:rsidRPr="00B61C0A" w:rsidRDefault="00726056" w:rsidP="00726056">
      <w:pPr>
        <w:jc w:val="right"/>
        <w:rPr>
          <w:rFonts w:eastAsiaTheme="minorHAnsi"/>
          <w:sz w:val="28"/>
          <w:szCs w:val="28"/>
        </w:rPr>
      </w:pPr>
      <w:r w:rsidRPr="00B61C0A">
        <w:rPr>
          <w:rFonts w:eastAsiaTheme="minorHAnsi"/>
          <w:sz w:val="28"/>
          <w:szCs w:val="28"/>
        </w:rPr>
        <w:t>Ленинградской области</w:t>
      </w:r>
    </w:p>
    <w:p w:rsidR="00726056" w:rsidRPr="00DB704F" w:rsidRDefault="00726056" w:rsidP="00726056">
      <w:pPr>
        <w:tabs>
          <w:tab w:val="left" w:pos="3893"/>
        </w:tabs>
        <w:ind w:left="9540"/>
        <w:jc w:val="right"/>
        <w:rPr>
          <w:bCs/>
          <w:sz w:val="28"/>
          <w:szCs w:val="28"/>
        </w:rPr>
      </w:pPr>
      <w:r w:rsidRPr="00B61C0A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12</w:t>
      </w:r>
      <w:r w:rsidRPr="00B61C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03</w:t>
      </w:r>
      <w:r w:rsidRPr="00B61C0A">
        <w:rPr>
          <w:rFonts w:eastAsiaTheme="minorHAnsi"/>
          <w:sz w:val="28"/>
          <w:szCs w:val="28"/>
        </w:rPr>
        <w:t>.202</w:t>
      </w:r>
      <w:r>
        <w:rPr>
          <w:rFonts w:eastAsiaTheme="minorHAnsi"/>
          <w:sz w:val="28"/>
          <w:szCs w:val="28"/>
        </w:rPr>
        <w:t>5</w:t>
      </w:r>
      <w:r w:rsidRPr="00B61C0A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16</w:t>
      </w:r>
    </w:p>
    <w:p w:rsidR="00726056" w:rsidRPr="00DB704F" w:rsidRDefault="00726056" w:rsidP="00726056">
      <w:pPr>
        <w:tabs>
          <w:tab w:val="left" w:pos="3893"/>
        </w:tabs>
        <w:ind w:left="9540"/>
        <w:jc w:val="right"/>
        <w:rPr>
          <w:bCs/>
          <w:sz w:val="28"/>
          <w:szCs w:val="28"/>
        </w:rPr>
      </w:pPr>
    </w:p>
    <w:p w:rsidR="00726056" w:rsidRPr="00DB704F" w:rsidRDefault="00726056" w:rsidP="00726056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</w:p>
    <w:p w:rsidR="00726056" w:rsidRPr="00DB704F" w:rsidRDefault="00726056" w:rsidP="00726056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B704F">
        <w:rPr>
          <w:b/>
          <w:sz w:val="28"/>
          <w:szCs w:val="28"/>
        </w:rPr>
        <w:t>ОТЧЕТ</w:t>
      </w:r>
    </w:p>
    <w:p w:rsidR="00726056" w:rsidRPr="008B3FF6" w:rsidRDefault="00726056" w:rsidP="00726056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DB704F">
        <w:rPr>
          <w:b/>
          <w:sz w:val="28"/>
          <w:szCs w:val="28"/>
        </w:rPr>
        <w:t xml:space="preserve">о показателях, характеризующих качество финансового менеджмента </w:t>
      </w:r>
      <w:r w:rsidRPr="008B3FF6">
        <w:rPr>
          <w:b/>
          <w:sz w:val="28"/>
          <w:szCs w:val="28"/>
        </w:rPr>
        <w:t xml:space="preserve">в отношении государственного казенного </w:t>
      </w:r>
      <w:r w:rsidRPr="00726056">
        <w:rPr>
          <w:b/>
          <w:sz w:val="28"/>
          <w:szCs w:val="28"/>
          <w:u w:val="single"/>
        </w:rPr>
        <w:t>учреждения Ленинградской области «Дом дружбы Ленинградской области» (далее – АБС) за 2024 год</w:t>
      </w:r>
    </w:p>
    <w:p w:rsidR="00726056" w:rsidRPr="00DB704F" w:rsidRDefault="00726056" w:rsidP="00726056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16"/>
          <w:szCs w:val="16"/>
        </w:rPr>
      </w:pPr>
      <w:r w:rsidRPr="00DB704F">
        <w:rPr>
          <w:b/>
          <w:sz w:val="16"/>
          <w:szCs w:val="16"/>
        </w:rPr>
        <w:t xml:space="preserve"> (наименование подведомственного государственного казенного учреждения)</w:t>
      </w:r>
    </w:p>
    <w:p w:rsidR="00726056" w:rsidRPr="00DB704F" w:rsidRDefault="00726056" w:rsidP="00726056">
      <w:pPr>
        <w:widowControl/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</w:rPr>
      </w:pP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0"/>
        <w:gridCol w:w="5760"/>
      </w:tblGrid>
      <w:tr w:rsidR="00726056" w:rsidRPr="00DB704F" w:rsidTr="00136133">
        <w:tc>
          <w:tcPr>
            <w:tcW w:w="9360" w:type="dxa"/>
          </w:tcPr>
          <w:p w:rsidR="00726056" w:rsidRPr="00DB704F" w:rsidRDefault="00726056" w:rsidP="00136133">
            <w:pPr>
              <w:jc w:val="center"/>
              <w:rPr>
                <w:sz w:val="24"/>
                <w:szCs w:val="24"/>
              </w:rPr>
            </w:pPr>
            <w:r w:rsidRPr="00DB704F">
              <w:rPr>
                <w:sz w:val="24"/>
                <w:szCs w:val="24"/>
              </w:rPr>
              <w:t>Группа показателей/Наименование показателя</w:t>
            </w:r>
          </w:p>
        </w:tc>
        <w:tc>
          <w:tcPr>
            <w:tcW w:w="5760" w:type="dxa"/>
          </w:tcPr>
          <w:p w:rsidR="00726056" w:rsidRPr="00DB704F" w:rsidRDefault="00726056" w:rsidP="00136133">
            <w:pPr>
              <w:jc w:val="center"/>
              <w:rPr>
                <w:sz w:val="24"/>
                <w:szCs w:val="24"/>
              </w:rPr>
            </w:pPr>
            <w:r w:rsidRPr="00DB704F">
              <w:rPr>
                <w:sz w:val="24"/>
                <w:szCs w:val="24"/>
              </w:rPr>
              <w:t>Оценка показателя (балл)</w:t>
            </w:r>
          </w:p>
        </w:tc>
      </w:tr>
      <w:tr w:rsidR="00726056" w:rsidRPr="00DB704F" w:rsidTr="00136133">
        <w:tc>
          <w:tcPr>
            <w:tcW w:w="15120" w:type="dxa"/>
            <w:gridSpan w:val="2"/>
          </w:tcPr>
          <w:p w:rsidR="00726056" w:rsidRPr="00DB704F" w:rsidRDefault="00726056" w:rsidP="00136133">
            <w:pPr>
              <w:rPr>
                <w:sz w:val="24"/>
                <w:szCs w:val="24"/>
              </w:rPr>
            </w:pPr>
            <w:r w:rsidRPr="00DB704F">
              <w:rPr>
                <w:sz w:val="24"/>
                <w:szCs w:val="24"/>
              </w:rPr>
              <w:t>1. Показатели, оценивающие качество исполнения бюджетных полномочий</w:t>
            </w:r>
          </w:p>
        </w:tc>
      </w:tr>
      <w:tr w:rsidR="00726056" w:rsidRPr="00DB704F" w:rsidTr="00136133">
        <w:trPr>
          <w:trHeight w:val="844"/>
        </w:trPr>
        <w:tc>
          <w:tcPr>
            <w:tcW w:w="9360" w:type="dxa"/>
          </w:tcPr>
          <w:p w:rsidR="00726056" w:rsidRPr="00A63BA5" w:rsidRDefault="00726056" w:rsidP="00A63BA5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1</w:t>
            </w:r>
            <w:r w:rsidRPr="00A63BA5">
              <w:rPr>
                <w:sz w:val="24"/>
                <w:szCs w:val="24"/>
              </w:rPr>
              <w:t xml:space="preserve">. Процент своевременно исполненных АБС пунктов </w:t>
            </w:r>
            <w:r w:rsidR="00A63BA5" w:rsidRPr="00A63BA5">
              <w:rPr>
                <w:sz w:val="24"/>
                <w:szCs w:val="24"/>
              </w:rPr>
              <w:t>«</w:t>
            </w:r>
            <w:r w:rsidRPr="00A63BA5">
              <w:rPr>
                <w:sz w:val="24"/>
                <w:szCs w:val="24"/>
              </w:rPr>
              <w:t>Плана-графика подготовки обоснований бюджетных ассигнований, предложений, документов и материалов, необходимых для составления проекта закона об областном бюджете Ленинградской области на очередной ф</w:t>
            </w:r>
            <w:r w:rsidR="00A63BA5" w:rsidRPr="00A63BA5">
              <w:rPr>
                <w:sz w:val="24"/>
                <w:szCs w:val="24"/>
              </w:rPr>
              <w:t>инансовый год и плановый период»</w:t>
            </w:r>
          </w:p>
        </w:tc>
        <w:tc>
          <w:tcPr>
            <w:tcW w:w="5760" w:type="dxa"/>
          </w:tcPr>
          <w:p w:rsidR="00726056" w:rsidRPr="008E36E3" w:rsidRDefault="0006661C" w:rsidP="0072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</w:p>
        </w:tc>
      </w:tr>
      <w:tr w:rsidR="00726056" w:rsidRPr="00DB704F" w:rsidTr="00136133">
        <w:trPr>
          <w:trHeight w:val="1057"/>
        </w:trPr>
        <w:tc>
          <w:tcPr>
            <w:tcW w:w="9360" w:type="dxa"/>
          </w:tcPr>
          <w:p w:rsidR="00726056" w:rsidRPr="00A63BA5" w:rsidRDefault="00726056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t>Р</w:t>
            </w:r>
            <w:proofErr w:type="gramStart"/>
            <w:r w:rsidRPr="00A63BA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A63BA5">
              <w:rPr>
                <w:sz w:val="24"/>
                <w:szCs w:val="24"/>
              </w:rPr>
              <w:t xml:space="preserve">. Число случаев несвоевременного представления АБС предложений (таблиц поправок) по расходам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 </w:t>
            </w:r>
          </w:p>
        </w:tc>
        <w:tc>
          <w:tcPr>
            <w:tcW w:w="5760" w:type="dxa"/>
          </w:tcPr>
          <w:p w:rsidR="00726056" w:rsidRPr="00DB704F" w:rsidRDefault="0006661C" w:rsidP="0072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</w:p>
        </w:tc>
      </w:tr>
      <w:tr w:rsidR="00726056" w:rsidRPr="00006CB7" w:rsidTr="00136133">
        <w:trPr>
          <w:trHeight w:val="625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rPr>
                <w:lang w:val="en-US"/>
              </w:rPr>
              <w:t>P</w:t>
            </w:r>
            <w:r w:rsidRPr="00A63BA5">
              <w:rPr>
                <w:vertAlign w:val="subscript"/>
              </w:rPr>
              <w:t>3</w:t>
            </w:r>
            <w:r w:rsidRPr="00A63BA5">
              <w:t>. Соотношение суммы изменений, внесенных АБС в  бюджетную роспись областного бюджета и общего объема бюджетных ассигнований</w:t>
            </w:r>
          </w:p>
        </w:tc>
        <w:tc>
          <w:tcPr>
            <w:tcW w:w="5760" w:type="dxa"/>
          </w:tcPr>
          <w:p w:rsidR="00726056" w:rsidRPr="0006661C" w:rsidRDefault="00726056" w:rsidP="00726056">
            <w:pPr>
              <w:jc w:val="center"/>
              <w:rPr>
                <w:sz w:val="24"/>
                <w:szCs w:val="24"/>
              </w:rPr>
            </w:pPr>
            <w:r w:rsidRPr="002050FD">
              <w:rPr>
                <w:sz w:val="24"/>
                <w:szCs w:val="24"/>
                <w:lang w:val="en-US"/>
              </w:rPr>
              <w:t xml:space="preserve">3 </w:t>
            </w:r>
          </w:p>
          <w:p w:rsidR="00726056" w:rsidRPr="002050FD" w:rsidRDefault="00726056" w:rsidP="0072605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26056" w:rsidRPr="00726056" w:rsidRDefault="00726056" w:rsidP="0072605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t>P</w:t>
            </w:r>
            <w:r w:rsidRPr="00A63BA5">
              <w:rPr>
                <w:sz w:val="16"/>
                <w:szCs w:val="16"/>
              </w:rPr>
              <w:t>4</w:t>
            </w:r>
            <w:r w:rsidRPr="00A63BA5">
              <w:rPr>
                <w:sz w:val="24"/>
                <w:szCs w:val="24"/>
              </w:rPr>
              <w:t>. Число случаев несвоевременного предоставления АБС информации для внесения в реестр участников бюджетного процесса Ленинградской области (далее - Сводный реестр)</w:t>
            </w:r>
          </w:p>
        </w:tc>
        <w:tc>
          <w:tcPr>
            <w:tcW w:w="5760" w:type="dxa"/>
          </w:tcPr>
          <w:p w:rsidR="00726056" w:rsidRPr="00DB704F" w:rsidRDefault="0006661C" w:rsidP="0072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726056" w:rsidRPr="00006CB7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lastRenderedPageBreak/>
              <w:t>P</w:t>
            </w:r>
            <w:r w:rsidRPr="00A63BA5">
              <w:rPr>
                <w:sz w:val="16"/>
                <w:szCs w:val="16"/>
              </w:rPr>
              <w:t>5</w:t>
            </w:r>
            <w:r w:rsidRPr="00A63BA5">
              <w:t>. Соотношение кассовых расходов и плановых объемов бюджетных ассигнований АБС в отчетном году</w:t>
            </w:r>
          </w:p>
        </w:tc>
        <w:tc>
          <w:tcPr>
            <w:tcW w:w="5760" w:type="dxa"/>
          </w:tcPr>
          <w:p w:rsidR="00726056" w:rsidRPr="0006661C" w:rsidRDefault="00726056" w:rsidP="00726056">
            <w:pPr>
              <w:jc w:val="center"/>
              <w:rPr>
                <w:sz w:val="24"/>
                <w:szCs w:val="24"/>
              </w:rPr>
            </w:pPr>
            <w:r w:rsidRPr="003A65E2">
              <w:rPr>
                <w:sz w:val="24"/>
                <w:szCs w:val="24"/>
                <w:lang w:val="en-US"/>
              </w:rPr>
              <w:t xml:space="preserve">4 </w:t>
            </w:r>
          </w:p>
          <w:p w:rsidR="00726056" w:rsidRPr="003A65E2" w:rsidRDefault="00726056" w:rsidP="0072605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26056" w:rsidRPr="00726056" w:rsidRDefault="00726056" w:rsidP="0072605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6</w:t>
            </w:r>
            <w:r w:rsidRPr="00A63BA5">
              <w:t>. Процент принятых комитетом финансов Ленинградской области заявок на оплату расходов АБС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5760" w:type="dxa"/>
          </w:tcPr>
          <w:p w:rsidR="00726056" w:rsidRPr="003D733F" w:rsidRDefault="0006661C" w:rsidP="0072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726056" w:rsidRPr="00DB704F" w:rsidRDefault="00726056" w:rsidP="00726056">
            <w:pPr>
              <w:jc w:val="center"/>
              <w:rPr>
                <w:sz w:val="24"/>
                <w:szCs w:val="24"/>
              </w:rPr>
            </w:pP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sz w:val="16"/>
                <w:szCs w:val="16"/>
              </w:rPr>
              <w:t>7</w:t>
            </w:r>
            <w:r w:rsidRPr="00A63BA5">
              <w:t xml:space="preserve">. Наличие случаев направления с нарушением сроков, установленных порядком завершения операций по исполнению областного бюджета Ленинградской области в отчетном году, заявок на оплату расходов АБС исполненных Комитетом финансов </w:t>
            </w:r>
          </w:p>
        </w:tc>
        <w:tc>
          <w:tcPr>
            <w:tcW w:w="5760" w:type="dxa"/>
          </w:tcPr>
          <w:p w:rsidR="00726056" w:rsidRPr="00DB704F" w:rsidRDefault="0006661C" w:rsidP="00967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8</w:t>
            </w:r>
            <w:r w:rsidRPr="00A63BA5">
              <w:t>. Отношение просроченной кредиторской задолженности АБС к объему кассовых расходов АБС в отчетном году</w:t>
            </w:r>
          </w:p>
        </w:tc>
        <w:tc>
          <w:tcPr>
            <w:tcW w:w="5760" w:type="dxa"/>
          </w:tcPr>
          <w:p w:rsidR="00967AB9" w:rsidRPr="003D733F" w:rsidRDefault="00967AB9" w:rsidP="00967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661C">
              <w:rPr>
                <w:sz w:val="24"/>
                <w:szCs w:val="24"/>
              </w:rPr>
              <w:t xml:space="preserve">3 </w:t>
            </w:r>
          </w:p>
          <w:p w:rsidR="00967AB9" w:rsidRPr="003D733F" w:rsidRDefault="00967AB9" w:rsidP="00967AB9">
            <w:pPr>
              <w:jc w:val="center"/>
              <w:rPr>
                <w:sz w:val="24"/>
                <w:szCs w:val="24"/>
              </w:rPr>
            </w:pPr>
          </w:p>
          <w:p w:rsidR="00726056" w:rsidRPr="00DB704F" w:rsidRDefault="00726056" w:rsidP="00967AB9">
            <w:pPr>
              <w:jc w:val="center"/>
              <w:rPr>
                <w:sz w:val="24"/>
                <w:szCs w:val="24"/>
              </w:rPr>
            </w:pP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t>Р</w:t>
            </w:r>
            <w:proofErr w:type="gramStart"/>
            <w:r w:rsidRPr="00A63BA5">
              <w:rPr>
                <w:vertAlign w:val="subscript"/>
              </w:rPr>
              <w:t>9</w:t>
            </w:r>
            <w:proofErr w:type="gramEnd"/>
            <w:r w:rsidRPr="00A63BA5">
              <w:rPr>
                <w:vertAlign w:val="subscript"/>
              </w:rPr>
              <w:t>.</w:t>
            </w:r>
            <w:r w:rsidRPr="00A63BA5">
              <w:t xml:space="preserve"> Среднемесячный процент отклонения планируемых и фактических перечислений АБС</w:t>
            </w:r>
          </w:p>
        </w:tc>
        <w:tc>
          <w:tcPr>
            <w:tcW w:w="5760" w:type="dxa"/>
          </w:tcPr>
          <w:p w:rsidR="00967AB9" w:rsidRPr="006301EC" w:rsidRDefault="0006661C" w:rsidP="00967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726056" w:rsidRPr="00DB704F" w:rsidRDefault="00726056" w:rsidP="00136133">
            <w:pPr>
              <w:jc w:val="center"/>
              <w:rPr>
                <w:sz w:val="24"/>
                <w:szCs w:val="24"/>
              </w:rPr>
            </w:pPr>
          </w:p>
        </w:tc>
      </w:tr>
      <w:tr w:rsidR="00726056" w:rsidRPr="00DB704F" w:rsidTr="00136133">
        <w:trPr>
          <w:trHeight w:val="609"/>
        </w:trPr>
        <w:tc>
          <w:tcPr>
            <w:tcW w:w="9360" w:type="dxa"/>
          </w:tcPr>
          <w:p w:rsidR="00726056" w:rsidRPr="00A63BA5" w:rsidRDefault="00726056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10</w:t>
            </w:r>
            <w:r w:rsidRPr="00A63BA5">
              <w:rPr>
                <w:sz w:val="24"/>
                <w:szCs w:val="24"/>
              </w:rPr>
              <w:t>. Число случаев несвоевременного представления АБС ежемесячной, квартальной, годовой отчетностей об исполнении областного бюджета</w:t>
            </w:r>
          </w:p>
        </w:tc>
        <w:tc>
          <w:tcPr>
            <w:tcW w:w="5760" w:type="dxa"/>
          </w:tcPr>
          <w:p w:rsidR="00726056" w:rsidRPr="00DB704F" w:rsidRDefault="0006661C" w:rsidP="00967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</w:p>
        </w:tc>
      </w:tr>
      <w:tr w:rsidR="00726056" w:rsidRPr="00006CB7" w:rsidTr="00136133">
        <w:trPr>
          <w:trHeight w:val="377"/>
        </w:trPr>
        <w:tc>
          <w:tcPr>
            <w:tcW w:w="9360" w:type="dxa"/>
          </w:tcPr>
          <w:p w:rsidR="00726056" w:rsidRPr="00A63BA5" w:rsidRDefault="00726056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11</w:t>
            </w:r>
            <w:r w:rsidRPr="00A63BA5">
              <w:rPr>
                <w:sz w:val="24"/>
                <w:szCs w:val="24"/>
              </w:rPr>
              <w:t>. Процент форм годовой бюджетной отчетности, представленной АБС без ошибок</w:t>
            </w:r>
          </w:p>
        </w:tc>
        <w:tc>
          <w:tcPr>
            <w:tcW w:w="5760" w:type="dxa"/>
          </w:tcPr>
          <w:p w:rsidR="00967AB9" w:rsidRPr="006301EC" w:rsidRDefault="00992919" w:rsidP="00967AB9">
            <w:pPr>
              <w:jc w:val="center"/>
              <w:rPr>
                <w:sz w:val="24"/>
                <w:szCs w:val="24"/>
                <w:lang w:val="en-US"/>
              </w:rPr>
            </w:pPr>
            <w:r w:rsidRPr="0006661C">
              <w:rPr>
                <w:sz w:val="24"/>
                <w:szCs w:val="24"/>
                <w:lang w:val="en-US"/>
              </w:rPr>
              <w:t>1</w:t>
            </w:r>
            <w:r w:rsidR="00967AB9" w:rsidRPr="0006661C">
              <w:rPr>
                <w:sz w:val="24"/>
                <w:szCs w:val="24"/>
                <w:lang w:val="en-US"/>
              </w:rPr>
              <w:t xml:space="preserve"> </w:t>
            </w:r>
          </w:p>
          <w:p w:rsidR="00726056" w:rsidRPr="00A63BA5" w:rsidRDefault="00726056" w:rsidP="00967AB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26056" w:rsidRPr="00DB704F" w:rsidTr="00136133">
        <w:trPr>
          <w:trHeight w:val="659"/>
        </w:trPr>
        <w:tc>
          <w:tcPr>
            <w:tcW w:w="9360" w:type="dxa"/>
          </w:tcPr>
          <w:p w:rsidR="00726056" w:rsidRPr="00A63BA5" w:rsidRDefault="00726056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12</w:t>
            </w:r>
            <w:r w:rsidRPr="00A63BA5">
              <w:t>. Число случаев нарушения АБС 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5760" w:type="dxa"/>
          </w:tcPr>
          <w:p w:rsidR="00967AB9" w:rsidRPr="006301EC" w:rsidRDefault="0006661C" w:rsidP="00967AB9">
            <w:pPr>
              <w:pStyle w:val="ConsPlusNormal"/>
              <w:jc w:val="center"/>
            </w:pPr>
            <w:r>
              <w:t xml:space="preserve">5 </w:t>
            </w:r>
          </w:p>
          <w:p w:rsidR="00726056" w:rsidRPr="009D562F" w:rsidRDefault="00726056" w:rsidP="00136133">
            <w:pPr>
              <w:pStyle w:val="ConsPlusNormal"/>
              <w:jc w:val="center"/>
            </w:pPr>
          </w:p>
        </w:tc>
      </w:tr>
      <w:tr w:rsidR="00B42048" w:rsidRPr="00DB704F" w:rsidTr="00136133">
        <w:trPr>
          <w:trHeight w:val="1574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13</w:t>
            </w:r>
            <w:r w:rsidRPr="00A63BA5">
              <w:t xml:space="preserve">. </w:t>
            </w:r>
            <w:proofErr w:type="gramStart"/>
            <w:r w:rsidRPr="00A63BA5">
              <w:t>Количество в судебных актов по искам к Ленинградской области о возмещении вреда, причиненного гражданину или юридическому лицу в результате незаконных действий (бездействия) АБС либо должностных лиц АБС,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  <w:proofErr w:type="gramEnd"/>
          </w:p>
        </w:tc>
        <w:tc>
          <w:tcPr>
            <w:tcW w:w="5760" w:type="dxa"/>
          </w:tcPr>
          <w:p w:rsidR="00B42048" w:rsidRPr="006301EC" w:rsidRDefault="0006661C" w:rsidP="00136133">
            <w:pPr>
              <w:pStyle w:val="ConsPlusNormal"/>
              <w:jc w:val="center"/>
            </w:pPr>
            <w:r>
              <w:t>3</w:t>
            </w:r>
          </w:p>
          <w:p w:rsidR="00B42048" w:rsidRPr="0054187A" w:rsidRDefault="00B42048" w:rsidP="00136133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B42048" w:rsidRPr="00DB704F" w:rsidTr="00136133">
        <w:trPr>
          <w:trHeight w:val="368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  <w:rPr>
                <w:vertAlign w:val="subscript"/>
              </w:rPr>
            </w:pPr>
            <w:r w:rsidRPr="00A63BA5">
              <w:rPr>
                <w:lang w:val="en-US"/>
              </w:rPr>
              <w:t>P</w:t>
            </w:r>
            <w:r w:rsidRPr="00A63BA5">
              <w:rPr>
                <w:vertAlign w:val="subscript"/>
              </w:rPr>
              <w:t>14.</w:t>
            </w:r>
            <w:r w:rsidRPr="00A63BA5">
              <w:t xml:space="preserve"> Количество принятых к исполнению судебных актов о взыскании с АБС</w:t>
            </w:r>
          </w:p>
        </w:tc>
        <w:tc>
          <w:tcPr>
            <w:tcW w:w="5760" w:type="dxa"/>
          </w:tcPr>
          <w:p w:rsidR="00B42048" w:rsidRPr="006301EC" w:rsidRDefault="0006661C" w:rsidP="00136133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B42048" w:rsidRPr="00DB704F" w:rsidTr="00136133">
        <w:trPr>
          <w:trHeight w:val="930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lastRenderedPageBreak/>
              <w:t>P</w:t>
            </w:r>
            <w:r w:rsidRPr="00A63BA5">
              <w:rPr>
                <w:vertAlign w:val="subscript"/>
              </w:rPr>
              <w:t>15</w:t>
            </w:r>
            <w:r w:rsidRPr="00A63BA5">
              <w:t>. Количество решений налогового органа о взыскании с АБС налога, сбора, страхового взноса, пеней и штрафов, предусматривающего обращение взыскания на средства бюджетов бюджетной системы Российской Федерации</w:t>
            </w:r>
          </w:p>
        </w:tc>
        <w:tc>
          <w:tcPr>
            <w:tcW w:w="5760" w:type="dxa"/>
          </w:tcPr>
          <w:p w:rsidR="00B42048" w:rsidRPr="006301EC" w:rsidRDefault="0006661C" w:rsidP="00136133">
            <w:pPr>
              <w:pStyle w:val="ConsPlusNormal"/>
              <w:jc w:val="center"/>
            </w:pPr>
            <w:r>
              <w:t xml:space="preserve"> 2 </w:t>
            </w:r>
          </w:p>
        </w:tc>
      </w:tr>
      <w:tr w:rsidR="00B42048" w:rsidRPr="00DB704F" w:rsidTr="00136133">
        <w:trPr>
          <w:trHeight w:val="620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16</w:t>
            </w:r>
            <w:r w:rsidRPr="00A63BA5">
              <w:t>. Представление АБС бюджетных смет и изменений бюджетных смет на утверждение в Комитет в установленные сроки</w:t>
            </w:r>
          </w:p>
        </w:tc>
        <w:tc>
          <w:tcPr>
            <w:tcW w:w="5760" w:type="dxa"/>
          </w:tcPr>
          <w:p w:rsidR="00B42048" w:rsidRPr="006301EC" w:rsidRDefault="0006661C" w:rsidP="00136133">
            <w:pPr>
              <w:pStyle w:val="ConsPlusNormal"/>
              <w:jc w:val="center"/>
            </w:pPr>
            <w:r>
              <w:t xml:space="preserve">2 </w:t>
            </w:r>
          </w:p>
          <w:p w:rsidR="00B42048" w:rsidRPr="0054187A" w:rsidRDefault="00B42048" w:rsidP="00136133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B42048" w:rsidRPr="00006CB7" w:rsidTr="00136133">
        <w:trPr>
          <w:trHeight w:val="880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17</w:t>
            </w:r>
            <w:r w:rsidRPr="00A63BA5">
              <w:t>. Своевременность и объем размещения АБС информации на официальном сайте в сети Интернет www.bus.gov.ru в соответствии с требованиями приказа Министерства финансов Российской Федерации от 21 июля 2011 года № 86н</w:t>
            </w:r>
          </w:p>
        </w:tc>
        <w:tc>
          <w:tcPr>
            <w:tcW w:w="5760" w:type="dxa"/>
          </w:tcPr>
          <w:p w:rsidR="00B42048" w:rsidRPr="0006661C" w:rsidRDefault="00B42048" w:rsidP="00136133">
            <w:pPr>
              <w:pStyle w:val="ConsPlusNormal"/>
              <w:jc w:val="center"/>
            </w:pPr>
            <w:r w:rsidRPr="006301EC">
              <w:rPr>
                <w:lang w:val="en-US"/>
              </w:rPr>
              <w:t xml:space="preserve"> 2 </w:t>
            </w:r>
          </w:p>
          <w:p w:rsidR="00B42048" w:rsidRDefault="00B42048" w:rsidP="00136133">
            <w:pPr>
              <w:pStyle w:val="ConsPlusNormal"/>
              <w:jc w:val="center"/>
              <w:rPr>
                <w:lang w:val="en-US"/>
              </w:rPr>
            </w:pPr>
          </w:p>
          <w:p w:rsidR="00B42048" w:rsidRPr="0054187A" w:rsidRDefault="00B42048" w:rsidP="00136133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B42048" w:rsidRPr="00DB704F" w:rsidTr="00136133">
        <w:trPr>
          <w:trHeight w:val="880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Р</w:t>
            </w:r>
            <w:r w:rsidRPr="00A63BA5">
              <w:rPr>
                <w:vertAlign w:val="subscript"/>
              </w:rPr>
              <w:t>18</w:t>
            </w:r>
            <w:r w:rsidRPr="00A63BA5">
              <w:t>. Число случаев несвоевременного отражения информации о начислении администратором платежей  денежных средств, подлежащих уплате,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5760" w:type="dxa"/>
          </w:tcPr>
          <w:p w:rsidR="00B42048" w:rsidRPr="00DB704F" w:rsidRDefault="0006661C" w:rsidP="00B42048">
            <w:pPr>
              <w:pStyle w:val="ConsPlusNormal"/>
              <w:jc w:val="center"/>
            </w:pPr>
            <w:r>
              <w:t xml:space="preserve">2 </w:t>
            </w:r>
          </w:p>
        </w:tc>
      </w:tr>
      <w:tr w:rsidR="00B42048" w:rsidRPr="00DB704F" w:rsidTr="00136133">
        <w:trPr>
          <w:trHeight w:val="497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vertAlign w:val="subscript"/>
              </w:rPr>
              <w:t>19</w:t>
            </w:r>
            <w:r w:rsidRPr="00A63BA5">
              <w:t xml:space="preserve">. Наличие случаев представления АБС изменений бюджетной сметы более 1 раза в месяц </w:t>
            </w:r>
          </w:p>
        </w:tc>
        <w:tc>
          <w:tcPr>
            <w:tcW w:w="5760" w:type="dxa"/>
          </w:tcPr>
          <w:p w:rsidR="00B42048" w:rsidRPr="00DB704F" w:rsidRDefault="0006661C" w:rsidP="00B42048">
            <w:pPr>
              <w:pStyle w:val="ConsPlusNormal"/>
              <w:jc w:val="center"/>
            </w:pPr>
            <w:r>
              <w:t xml:space="preserve">3 </w:t>
            </w:r>
            <w:r w:rsidR="00B42048">
              <w:t xml:space="preserve">  </w:t>
            </w:r>
          </w:p>
        </w:tc>
      </w:tr>
      <w:tr w:rsidR="00B42048" w:rsidRPr="00DB704F" w:rsidTr="00136133">
        <w:trPr>
          <w:trHeight w:val="497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2. Показатели, оценивающие качество управления активами</w:t>
            </w:r>
          </w:p>
        </w:tc>
        <w:tc>
          <w:tcPr>
            <w:tcW w:w="5760" w:type="dxa"/>
          </w:tcPr>
          <w:p w:rsidR="00B42048" w:rsidRPr="00DB704F" w:rsidRDefault="00B42048" w:rsidP="00136133">
            <w:pPr>
              <w:pStyle w:val="ConsPlusNormal"/>
              <w:jc w:val="center"/>
            </w:pPr>
          </w:p>
        </w:tc>
      </w:tr>
      <w:tr w:rsidR="00B42048" w:rsidRPr="00DB704F" w:rsidTr="00136133">
        <w:trPr>
          <w:trHeight w:val="600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  <w:rPr>
                <w:vertAlign w:val="subscript"/>
              </w:rPr>
            </w:pPr>
            <w:r w:rsidRPr="00A63BA5">
              <w:rPr>
                <w:lang w:val="en-US"/>
              </w:rPr>
              <w:t>P</w:t>
            </w:r>
            <w:r w:rsidRPr="00A63BA5">
              <w:rPr>
                <w:vertAlign w:val="subscript"/>
              </w:rPr>
              <w:t>20.</w:t>
            </w:r>
            <w:r w:rsidRPr="00A63BA5">
              <w:t xml:space="preserve"> Процент недостач и (или) хищений государственной собственности, выявленных у АБС </w:t>
            </w:r>
          </w:p>
        </w:tc>
        <w:tc>
          <w:tcPr>
            <w:tcW w:w="5760" w:type="dxa"/>
          </w:tcPr>
          <w:p w:rsidR="00B42048" w:rsidRPr="003827F6" w:rsidRDefault="00B42048" w:rsidP="00B4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61C">
              <w:rPr>
                <w:sz w:val="24"/>
                <w:szCs w:val="24"/>
              </w:rPr>
              <w:t xml:space="preserve"> </w:t>
            </w:r>
          </w:p>
          <w:p w:rsidR="00B42048" w:rsidRDefault="00B42048" w:rsidP="00B42048"/>
        </w:tc>
      </w:tr>
      <w:tr w:rsidR="00B42048" w:rsidRPr="00006CB7" w:rsidTr="00136133">
        <w:trPr>
          <w:trHeight w:val="632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Р</w:t>
            </w:r>
            <w:r w:rsidRPr="00A63BA5">
              <w:rPr>
                <w:vertAlign w:val="subscript"/>
              </w:rPr>
              <w:t>21</w:t>
            </w:r>
            <w:r w:rsidRPr="00A63BA5">
              <w:t>. Отношение дебиторской задолженности АБС по выданным в счет оплаты товаров, работ, услуг авансам к объему кассовых расходов на оплату товаров, работ и услуг</w:t>
            </w:r>
          </w:p>
        </w:tc>
        <w:tc>
          <w:tcPr>
            <w:tcW w:w="5760" w:type="dxa"/>
          </w:tcPr>
          <w:p w:rsidR="00B42048" w:rsidRPr="0006661C" w:rsidRDefault="00B42048" w:rsidP="00B42048">
            <w:pPr>
              <w:jc w:val="center"/>
              <w:rPr>
                <w:sz w:val="24"/>
                <w:szCs w:val="24"/>
              </w:rPr>
            </w:pPr>
            <w:r w:rsidRPr="003827F6">
              <w:rPr>
                <w:sz w:val="24"/>
                <w:szCs w:val="24"/>
                <w:lang w:val="en-US"/>
              </w:rPr>
              <w:t xml:space="preserve">3 </w:t>
            </w:r>
          </w:p>
          <w:p w:rsidR="00B42048" w:rsidRPr="00B42048" w:rsidRDefault="00B42048" w:rsidP="00B42048">
            <w:pPr>
              <w:rPr>
                <w:lang w:val="en-US"/>
              </w:rPr>
            </w:pPr>
          </w:p>
        </w:tc>
      </w:tr>
      <w:tr w:rsidR="00B42048" w:rsidRPr="00B42048" w:rsidTr="00136133">
        <w:trPr>
          <w:trHeight w:val="599"/>
        </w:trPr>
        <w:tc>
          <w:tcPr>
            <w:tcW w:w="9360" w:type="dxa"/>
          </w:tcPr>
          <w:p w:rsidR="00B42048" w:rsidRPr="00A63BA5" w:rsidRDefault="00B42048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  <w:lang w:val="en-US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22.</w:t>
            </w:r>
            <w:r w:rsidRPr="00A63BA5">
              <w:rPr>
                <w:sz w:val="24"/>
                <w:szCs w:val="24"/>
              </w:rPr>
              <w:t xml:space="preserve"> Процент снижения просроченной дебиторской задолженности по доходам</w:t>
            </w:r>
          </w:p>
        </w:tc>
        <w:tc>
          <w:tcPr>
            <w:tcW w:w="5760" w:type="dxa"/>
          </w:tcPr>
          <w:p w:rsidR="00B42048" w:rsidRPr="0006661C" w:rsidRDefault="00B42048" w:rsidP="00B4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27F6">
              <w:rPr>
                <w:sz w:val="24"/>
                <w:szCs w:val="24"/>
                <w:lang w:val="en-US"/>
              </w:rPr>
              <w:t xml:space="preserve"> </w:t>
            </w:r>
          </w:p>
          <w:p w:rsidR="00B42048" w:rsidRPr="00B42048" w:rsidRDefault="00B42048" w:rsidP="00B42048">
            <w:pPr>
              <w:rPr>
                <w:lang w:val="en-US"/>
              </w:rPr>
            </w:pPr>
          </w:p>
        </w:tc>
      </w:tr>
      <w:tr w:rsidR="00B42048" w:rsidRPr="00DB704F" w:rsidTr="00136133">
        <w:trPr>
          <w:trHeight w:val="599"/>
        </w:trPr>
        <w:tc>
          <w:tcPr>
            <w:tcW w:w="9360" w:type="dxa"/>
          </w:tcPr>
          <w:p w:rsidR="00B42048" w:rsidRPr="00A63BA5" w:rsidRDefault="00B42048" w:rsidP="00136133">
            <w:pPr>
              <w:widowControl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  <w:lang w:val="en-US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23.</w:t>
            </w:r>
            <w:r w:rsidRPr="00A63BA5">
              <w:rPr>
                <w:sz w:val="24"/>
                <w:szCs w:val="24"/>
              </w:rPr>
              <w:t xml:space="preserve"> Отношение просроченной дебиторской задолженности по администрируемым доходам АБС к фактическому поступлению администрируемых доходов</w:t>
            </w:r>
          </w:p>
        </w:tc>
        <w:tc>
          <w:tcPr>
            <w:tcW w:w="5760" w:type="dxa"/>
          </w:tcPr>
          <w:p w:rsidR="00B42048" w:rsidRPr="00B42048" w:rsidRDefault="00B42048" w:rsidP="00B42048">
            <w:pPr>
              <w:jc w:val="center"/>
              <w:rPr>
                <w:sz w:val="24"/>
                <w:szCs w:val="24"/>
              </w:rPr>
            </w:pPr>
            <w:r w:rsidRPr="00B42048">
              <w:rPr>
                <w:sz w:val="24"/>
                <w:szCs w:val="24"/>
              </w:rPr>
              <w:t xml:space="preserve">3 </w:t>
            </w:r>
          </w:p>
          <w:p w:rsidR="00B42048" w:rsidRDefault="00B42048" w:rsidP="0006661C">
            <w:r w:rsidRPr="00B42048"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B42048" w:rsidRPr="00006CB7" w:rsidTr="00136133">
        <w:trPr>
          <w:trHeight w:val="599"/>
        </w:trPr>
        <w:tc>
          <w:tcPr>
            <w:tcW w:w="9360" w:type="dxa"/>
          </w:tcPr>
          <w:p w:rsidR="00B42048" w:rsidRPr="00A63BA5" w:rsidRDefault="00B42048" w:rsidP="00A63BA5">
            <w:pPr>
              <w:jc w:val="both"/>
            </w:pPr>
            <w:r w:rsidRPr="00A63BA5">
              <w:rPr>
                <w:sz w:val="24"/>
                <w:szCs w:val="24"/>
                <w:lang w:val="en-US"/>
              </w:rPr>
              <w:t>P</w:t>
            </w:r>
            <w:r w:rsidRPr="00A63BA5">
              <w:rPr>
                <w:sz w:val="24"/>
                <w:szCs w:val="24"/>
                <w:vertAlign w:val="subscript"/>
              </w:rPr>
              <w:t>24.</w:t>
            </w:r>
            <w:r w:rsidRPr="00A63BA5">
              <w:rPr>
                <w:sz w:val="24"/>
                <w:szCs w:val="24"/>
              </w:rPr>
              <w:t xml:space="preserve"> Отношение просроченной дебиторской задолженности по расходам АБС к объему бюджетных расходов АБС </w:t>
            </w:r>
          </w:p>
        </w:tc>
        <w:tc>
          <w:tcPr>
            <w:tcW w:w="5760" w:type="dxa"/>
          </w:tcPr>
          <w:p w:rsidR="00B42048" w:rsidRPr="0006661C" w:rsidRDefault="003C5028" w:rsidP="00B4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B42048" w:rsidRPr="003827F6">
              <w:rPr>
                <w:sz w:val="24"/>
                <w:szCs w:val="24"/>
                <w:lang w:val="en-US"/>
              </w:rPr>
              <w:t xml:space="preserve"> </w:t>
            </w:r>
          </w:p>
          <w:p w:rsidR="00B42048" w:rsidRPr="00B42048" w:rsidRDefault="00B42048" w:rsidP="003C5028">
            <w:pPr>
              <w:jc w:val="center"/>
              <w:rPr>
                <w:lang w:val="en-US"/>
              </w:rPr>
            </w:pPr>
          </w:p>
        </w:tc>
      </w:tr>
      <w:tr w:rsidR="00B42048" w:rsidRPr="00DB704F" w:rsidTr="00136133">
        <w:trPr>
          <w:trHeight w:val="316"/>
        </w:trPr>
        <w:tc>
          <w:tcPr>
            <w:tcW w:w="15120" w:type="dxa"/>
            <w:gridSpan w:val="2"/>
          </w:tcPr>
          <w:p w:rsidR="00B42048" w:rsidRPr="00A63BA5" w:rsidRDefault="00B42048" w:rsidP="00136133">
            <w:pPr>
              <w:jc w:val="both"/>
              <w:rPr>
                <w:sz w:val="24"/>
                <w:szCs w:val="24"/>
              </w:rPr>
            </w:pPr>
            <w:r w:rsidRPr="00A63BA5">
              <w:rPr>
                <w:sz w:val="24"/>
                <w:szCs w:val="24"/>
              </w:rPr>
              <w:lastRenderedPageBreak/>
              <w:t>3. Показатели, оценивающие качество осуществления закупок товаров, работ и услуг для обеспечения государственных нужд</w:t>
            </w:r>
          </w:p>
        </w:tc>
      </w:tr>
      <w:tr w:rsidR="00B42048" w:rsidRPr="00DB704F" w:rsidTr="00136133">
        <w:trPr>
          <w:trHeight w:val="711"/>
        </w:trPr>
        <w:tc>
          <w:tcPr>
            <w:tcW w:w="9360" w:type="dxa"/>
          </w:tcPr>
          <w:p w:rsidR="00B42048" w:rsidRPr="00A63BA5" w:rsidRDefault="00B42048" w:rsidP="00136133">
            <w:pPr>
              <w:pStyle w:val="ConsPlusNormal"/>
              <w:jc w:val="both"/>
            </w:pPr>
            <w:r w:rsidRPr="00A63BA5">
              <w:t>P</w:t>
            </w:r>
            <w:r w:rsidRPr="00A63BA5">
              <w:rPr>
                <w:sz w:val="16"/>
                <w:szCs w:val="16"/>
              </w:rPr>
              <w:t>25</w:t>
            </w:r>
            <w:r w:rsidRPr="00A63BA5">
              <w:t xml:space="preserve">. Наличие случаев принятия бюджетных обязательств, возникших на основании договоров или государственных контрактов, заключенных с превышением размера авансового платежа, установленного нормами действующего федерального и регионального законодательства </w:t>
            </w:r>
          </w:p>
        </w:tc>
        <w:tc>
          <w:tcPr>
            <w:tcW w:w="5760" w:type="dxa"/>
          </w:tcPr>
          <w:p w:rsidR="003C5028" w:rsidRPr="0006661C" w:rsidRDefault="003C5028" w:rsidP="003C5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27F6">
              <w:rPr>
                <w:sz w:val="24"/>
                <w:szCs w:val="24"/>
                <w:lang w:val="en-US"/>
              </w:rPr>
              <w:t xml:space="preserve"> </w:t>
            </w:r>
          </w:p>
          <w:p w:rsidR="00B42048" w:rsidRPr="00DB704F" w:rsidRDefault="00B42048" w:rsidP="003C5028">
            <w:pPr>
              <w:pStyle w:val="ConsPlusNormal"/>
              <w:jc w:val="center"/>
            </w:pPr>
          </w:p>
        </w:tc>
      </w:tr>
      <w:tr w:rsidR="00B42048" w:rsidRPr="00006CB7" w:rsidTr="00136133">
        <w:trPr>
          <w:trHeight w:val="686"/>
        </w:trPr>
        <w:tc>
          <w:tcPr>
            <w:tcW w:w="9360" w:type="dxa"/>
          </w:tcPr>
          <w:p w:rsidR="00B42048" w:rsidRPr="00A63BA5" w:rsidRDefault="00B42048" w:rsidP="00A63BA5">
            <w:pPr>
              <w:widowControl/>
            </w:pPr>
            <w:r w:rsidRPr="00A63BA5">
              <w:rPr>
                <w:lang w:val="en-US"/>
              </w:rPr>
              <w:t>P</w:t>
            </w:r>
            <w:r w:rsidRPr="00A63BA5">
              <w:rPr>
                <w:vertAlign w:val="subscript"/>
              </w:rPr>
              <w:t>26</w:t>
            </w:r>
            <w:r w:rsidRPr="00A63BA5">
              <w:t xml:space="preserve">. </w:t>
            </w:r>
            <w:r w:rsidRPr="00A63BA5">
              <w:rPr>
                <w:sz w:val="24"/>
                <w:szCs w:val="24"/>
              </w:rPr>
              <w:t xml:space="preserve">Процент документов </w:t>
            </w:r>
            <w:r w:rsidR="00A63BA5" w:rsidRPr="00A63BA5">
              <w:rPr>
                <w:sz w:val="24"/>
                <w:szCs w:val="24"/>
              </w:rPr>
              <w:t>«</w:t>
            </w:r>
            <w:r w:rsidRPr="00A63BA5">
              <w:rPr>
                <w:sz w:val="24"/>
                <w:szCs w:val="24"/>
              </w:rPr>
              <w:t>Информация о заключенном контракте (его изменении)</w:t>
            </w:r>
            <w:r w:rsidR="00A63BA5" w:rsidRPr="00A63BA5">
              <w:rPr>
                <w:sz w:val="24"/>
                <w:szCs w:val="24"/>
              </w:rPr>
              <w:t>», «</w:t>
            </w:r>
            <w:r w:rsidRPr="00A63BA5">
              <w:rPr>
                <w:sz w:val="24"/>
                <w:szCs w:val="24"/>
              </w:rPr>
              <w:t>Информация об исполнении (о расторжении) контракта</w:t>
            </w:r>
            <w:r w:rsidR="00A63BA5" w:rsidRPr="00A63BA5">
              <w:rPr>
                <w:sz w:val="24"/>
                <w:szCs w:val="24"/>
              </w:rPr>
              <w:t>» АБС</w:t>
            </w:r>
            <w:r w:rsidRPr="00A63BA5">
              <w:rPr>
                <w:sz w:val="24"/>
                <w:szCs w:val="24"/>
              </w:rPr>
              <w:t>, прошедших контроль в сфере закупок</w:t>
            </w:r>
          </w:p>
        </w:tc>
        <w:tc>
          <w:tcPr>
            <w:tcW w:w="5760" w:type="dxa"/>
          </w:tcPr>
          <w:p w:rsidR="003C5028" w:rsidRPr="0006661C" w:rsidRDefault="003C5028" w:rsidP="003C5028">
            <w:pPr>
              <w:pStyle w:val="ConsPlusNormal"/>
              <w:jc w:val="center"/>
            </w:pPr>
            <w:r w:rsidRPr="0006661C">
              <w:rPr>
                <w:lang w:val="en-US"/>
              </w:rPr>
              <w:t xml:space="preserve">0,8 </w:t>
            </w:r>
          </w:p>
          <w:p w:rsidR="00B42048" w:rsidRPr="003C5028" w:rsidRDefault="00B42048" w:rsidP="003C5028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B42048" w:rsidRPr="00DB704F" w:rsidTr="00136133">
        <w:trPr>
          <w:trHeight w:val="686"/>
        </w:trPr>
        <w:tc>
          <w:tcPr>
            <w:tcW w:w="9360" w:type="dxa"/>
          </w:tcPr>
          <w:p w:rsidR="00B42048" w:rsidRPr="009D562F" w:rsidRDefault="00B42048" w:rsidP="00136133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27</w:t>
            </w:r>
            <w:r>
              <w:t xml:space="preserve">. </w:t>
            </w:r>
            <w:r w:rsidRPr="00422ED6">
              <w:t>Количество административных штрафов,</w:t>
            </w:r>
            <w:r>
              <w:t xml:space="preserve"> наложенных на должностных лиц </w:t>
            </w:r>
            <w:r w:rsidRPr="00422ED6">
              <w:t>АБС</w:t>
            </w:r>
            <w:r>
              <w:t xml:space="preserve"> </w:t>
            </w:r>
            <w:r w:rsidRPr="00422ED6">
              <w:t>за нарушение законодательства о контрактной системе в</w:t>
            </w:r>
            <w:r>
              <w:t xml:space="preserve"> сфере закупок, в расчете на 10</w:t>
            </w:r>
            <w:r w:rsidRPr="00422ED6">
              <w:t xml:space="preserve"> млн. руб. расходов на </w:t>
            </w:r>
            <w:r w:rsidRPr="00422ED6">
              <w:rPr>
                <w:rFonts w:eastAsia="Calibri"/>
                <w:iCs/>
              </w:rPr>
              <w:t>оплату товаров, работ и услуг</w:t>
            </w:r>
          </w:p>
        </w:tc>
        <w:tc>
          <w:tcPr>
            <w:tcW w:w="5760" w:type="dxa"/>
          </w:tcPr>
          <w:p w:rsidR="00B42048" w:rsidRPr="00DB704F" w:rsidRDefault="0006661C" w:rsidP="003C5028">
            <w:pPr>
              <w:pStyle w:val="ConsPlusNormal"/>
              <w:jc w:val="center"/>
            </w:pPr>
            <w:r>
              <w:t xml:space="preserve">4 </w:t>
            </w:r>
          </w:p>
        </w:tc>
      </w:tr>
      <w:tr w:rsidR="00B42048" w:rsidTr="00136133">
        <w:tc>
          <w:tcPr>
            <w:tcW w:w="9360" w:type="dxa"/>
          </w:tcPr>
          <w:p w:rsidR="00B42048" w:rsidRDefault="00B42048" w:rsidP="00136133">
            <w:pPr>
              <w:pStyle w:val="ConsPlusNormal"/>
            </w:pPr>
            <w:r w:rsidRPr="00DB704F">
              <w:t>ИТОГО</w:t>
            </w:r>
            <w:r>
              <w:t xml:space="preserve"> </w:t>
            </w:r>
          </w:p>
        </w:tc>
        <w:tc>
          <w:tcPr>
            <w:tcW w:w="5760" w:type="dxa"/>
          </w:tcPr>
          <w:p w:rsidR="003C5028" w:rsidRDefault="003C5028" w:rsidP="003C502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20F84">
              <w:rPr>
                <w:sz w:val="24"/>
                <w:szCs w:val="24"/>
                <w:lang w:val="en-US"/>
              </w:rPr>
              <w:t>G</w:t>
            </w:r>
            <w:r w:rsidRPr="00720F84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720F84">
              <w:rPr>
                <w:sz w:val="24"/>
                <w:szCs w:val="24"/>
              </w:rPr>
              <w:t xml:space="preserve"> = </w:t>
            </w:r>
          </w:p>
          <w:p w:rsidR="003C5028" w:rsidRDefault="003C5028" w:rsidP="003C5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*5+1*4+1*3+1*2+1*4+1*4+1*4+1*3+1*5+1*5+</w:t>
            </w: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  <w:lang w:val="en-US"/>
              </w:rPr>
              <w:t>*2+1*5+1*3+1*3+1*2+1*2+1*2+1*2+1*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+1*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+1*3+</w:t>
            </w:r>
            <w:r w:rsidR="00A63B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*</w:t>
            </w:r>
            <w:r w:rsidR="00A63B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+1*4</w:t>
            </w:r>
            <w:r>
              <w:rPr>
                <w:sz w:val="24"/>
                <w:szCs w:val="24"/>
              </w:rPr>
              <w:t xml:space="preserve">+ </w:t>
            </w:r>
            <w:r w:rsidR="00A63BA5">
              <w:rPr>
                <w:sz w:val="24"/>
                <w:szCs w:val="24"/>
              </w:rPr>
              <w:t>1*4+</w:t>
            </w:r>
            <w:r>
              <w:rPr>
                <w:sz w:val="24"/>
                <w:szCs w:val="24"/>
              </w:rPr>
              <w:t>0,2*4+1*4</w:t>
            </w:r>
            <w:r w:rsidR="00006CB7">
              <w:rPr>
                <w:sz w:val="24"/>
                <w:szCs w:val="24"/>
                <w:lang w:val="en-US"/>
              </w:rPr>
              <w:t>)</w:t>
            </w:r>
            <w:r w:rsidR="00105DBB">
              <w:rPr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="00006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*100=</w:t>
            </w:r>
            <w:r w:rsidR="00006CB7">
              <w:rPr>
                <w:sz w:val="24"/>
                <w:szCs w:val="24"/>
              </w:rPr>
              <w:t>84,8/</w:t>
            </w:r>
            <w:r>
              <w:rPr>
                <w:sz w:val="24"/>
                <w:szCs w:val="24"/>
              </w:rPr>
              <w:t>9</w:t>
            </w:r>
            <w:r w:rsidR="00006CB7">
              <w:rPr>
                <w:sz w:val="24"/>
                <w:szCs w:val="24"/>
              </w:rPr>
              <w:t>2*100%=92,17</w:t>
            </w:r>
            <w:r>
              <w:rPr>
                <w:sz w:val="24"/>
                <w:szCs w:val="24"/>
              </w:rPr>
              <w:t xml:space="preserve"> % =9</w:t>
            </w:r>
            <w:r w:rsidR="00006CB7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>%</w:t>
            </w:r>
          </w:p>
          <w:p w:rsidR="00B42048" w:rsidRDefault="003C5028" w:rsidP="003C5028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степень качества</w:t>
            </w:r>
          </w:p>
        </w:tc>
      </w:tr>
    </w:tbl>
    <w:p w:rsidR="00726056" w:rsidRDefault="00726056" w:rsidP="00726056"/>
    <w:p w:rsidR="007C13BE" w:rsidRDefault="007C13BE"/>
    <w:sectPr w:rsidR="007C13BE" w:rsidSect="005917AE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D0" w:rsidRDefault="00DE55D0">
      <w:r>
        <w:separator/>
      </w:r>
    </w:p>
  </w:endnote>
  <w:endnote w:type="continuationSeparator" w:id="0">
    <w:p w:rsidR="00DE55D0" w:rsidRDefault="00DE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53" w:rsidRDefault="00DE55D0" w:rsidP="005917AE">
    <w:pPr>
      <w:pStyle w:val="a3"/>
      <w:framePr w:wrap="around" w:vAnchor="text" w:hAnchor="margin" w:xAlign="center" w:y="1"/>
      <w:rPr>
        <w:rStyle w:val="a5"/>
      </w:rPr>
    </w:pPr>
  </w:p>
  <w:p w:rsidR="00BF1053" w:rsidRPr="00913DB2" w:rsidRDefault="00DE55D0" w:rsidP="00591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D0" w:rsidRDefault="00DE55D0">
      <w:r>
        <w:separator/>
      </w:r>
    </w:p>
  </w:footnote>
  <w:footnote w:type="continuationSeparator" w:id="0">
    <w:p w:rsidR="00DE55D0" w:rsidRDefault="00DE5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6"/>
    <w:rsid w:val="00006CB7"/>
    <w:rsid w:val="0006661C"/>
    <w:rsid w:val="00105DBB"/>
    <w:rsid w:val="00236EE9"/>
    <w:rsid w:val="00397B63"/>
    <w:rsid w:val="003C5028"/>
    <w:rsid w:val="00726056"/>
    <w:rsid w:val="007C13BE"/>
    <w:rsid w:val="00967AB9"/>
    <w:rsid w:val="00992919"/>
    <w:rsid w:val="009B0CC2"/>
    <w:rsid w:val="00A63BA5"/>
    <w:rsid w:val="00A84E9F"/>
    <w:rsid w:val="00B42048"/>
    <w:rsid w:val="00D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6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056"/>
  </w:style>
  <w:style w:type="paragraph" w:customStyle="1" w:styleId="ConsPlusNormal">
    <w:name w:val="ConsPlusNormal"/>
    <w:rsid w:val="0072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26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056"/>
  </w:style>
  <w:style w:type="paragraph" w:customStyle="1" w:styleId="ConsPlusNormal">
    <w:name w:val="ConsPlusNormal"/>
    <w:rsid w:val="0072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Якунина</dc:creator>
  <cp:lastModifiedBy>Елена Николаевна Якунина</cp:lastModifiedBy>
  <cp:revision>3</cp:revision>
  <cp:lastPrinted>2025-03-17T07:24:00Z</cp:lastPrinted>
  <dcterms:created xsi:type="dcterms:W3CDTF">2025-03-17T07:21:00Z</dcterms:created>
  <dcterms:modified xsi:type="dcterms:W3CDTF">2025-03-17T07:30:00Z</dcterms:modified>
</cp:coreProperties>
</file>