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4" w:rsidRDefault="009D19E0">
      <w:pPr>
        <w:pStyle w:val="10"/>
        <w:framePr w:w="9682" w:h="14927" w:hRule="exact" w:wrap="around" w:vAnchor="page" w:hAnchor="page" w:x="1126" w:y="965"/>
        <w:shd w:val="clear" w:color="auto" w:fill="auto"/>
        <w:spacing w:after="26" w:line="240" w:lineRule="exact"/>
        <w:ind w:left="1620"/>
      </w:pPr>
      <w:bookmarkStart w:id="0" w:name="bookmark0"/>
      <w:r>
        <w:t xml:space="preserve">Отчет о </w:t>
      </w:r>
      <w:r>
        <w:t>социально-экономическом положении за 2020 год</w:t>
      </w:r>
      <w:bookmarkEnd w:id="0"/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900"/>
        <w:jc w:val="both"/>
      </w:pPr>
      <w:r>
        <w:t>Трубникоборское сельское поселение Тосненского района Ленинградской области входит в состав Тосненского муниципального района.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900"/>
        <w:jc w:val="both"/>
      </w:pPr>
      <w:r>
        <w:t>Трубникоборское сельское поселение Тосненского района Ленинградской области располо</w:t>
      </w:r>
      <w:r>
        <w:t xml:space="preserve">жено на юго-востоке Тосненского района Ленинградской области, ее территория составляет 86326 га. В его состав входит 16 населенных пунктов: </w:t>
      </w:r>
      <w:proofErr w:type="gramStart"/>
      <w:r>
        <w:t xml:space="preserve">Дер. Трубников Бор, дер. Александровка, дер. Апраксин Бор, дер. Бабино, дер. </w:t>
      </w:r>
      <w:proofErr w:type="spellStart"/>
      <w:r>
        <w:t>Бабинская</w:t>
      </w:r>
      <w:proofErr w:type="spellEnd"/>
      <w:r>
        <w:t xml:space="preserve"> Лука, пос. Бабино, дер. Больш</w:t>
      </w:r>
      <w:r>
        <w:t xml:space="preserve">ая Горка, дер. Большая </w:t>
      </w:r>
      <w:proofErr w:type="spellStart"/>
      <w:r>
        <w:t>Кунесть</w:t>
      </w:r>
      <w:proofErr w:type="spellEnd"/>
      <w:r>
        <w:t xml:space="preserve">, дер. Вороний Остров, дер. </w:t>
      </w:r>
      <w:proofErr w:type="spellStart"/>
      <w:r>
        <w:t>Дроздово</w:t>
      </w:r>
      <w:proofErr w:type="spellEnd"/>
      <w:r>
        <w:t xml:space="preserve">, пос. Керамик, дер. </w:t>
      </w:r>
      <w:proofErr w:type="spellStart"/>
      <w:r>
        <w:t>Коколаврик</w:t>
      </w:r>
      <w:proofErr w:type="spellEnd"/>
      <w:r>
        <w:t xml:space="preserve">, дер. Померанье, дер. Ручьи, дер. </w:t>
      </w:r>
      <w:proofErr w:type="spellStart"/>
      <w:r>
        <w:t>Черемная</w:t>
      </w:r>
      <w:proofErr w:type="spellEnd"/>
      <w:r>
        <w:t xml:space="preserve"> Гора, дер. Чудской Бор.</w:t>
      </w:r>
      <w:proofErr w:type="gramEnd"/>
      <w:r>
        <w:t xml:space="preserve"> Административным центром поселения является дер. Трубников Бор.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firstLine="900"/>
        <w:jc w:val="both"/>
      </w:pPr>
      <w:r>
        <w:t>Население составляет 1635 ч</w:t>
      </w:r>
      <w:r>
        <w:t>еловек, из них сельского населения -1635 человек.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900"/>
        <w:jc w:val="both"/>
      </w:pPr>
      <w:r>
        <w:t>Демографическая ситуация такова: в 2020 году зарегистрировано - 15 смертей, родилось - 6 детей. Около 600 человек работоспособного населения, 200 человек - дети, 720 человек - люди пенсионного возраста.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900"/>
        <w:jc w:val="both"/>
      </w:pPr>
      <w:r>
        <w:t>Наше поселение по площади занимает 1/5 часть района (это федеральные, региональные, лесные земли и садоводческие массивы). Садоводческие массивы: «Бабино» - 13 садоводств, 6800 участков, расположенных на 600 га земли. «Трубников Бор» - самый большой массив</w:t>
      </w:r>
      <w:r>
        <w:t xml:space="preserve"> - 27 садоводств, 8320 участков, расположенных на 788 га земли; «</w:t>
      </w:r>
      <w:proofErr w:type="spellStart"/>
      <w:r>
        <w:t>Ленвест</w:t>
      </w:r>
      <w:proofErr w:type="spellEnd"/>
      <w:r>
        <w:t>» - 106 участков, расположенных на 22,7 га; «Керамик» - 60 участков, расположенных на 8 га. Данные массивы являются налогоплательщиками, составляющими основную часть доходной базы по у</w:t>
      </w:r>
      <w:r>
        <w:t>плате земельного налога. Также на территории Трубникоборского сельского поселения находятся 41 фермерское хозяйство, расположенные на территории в 476 га, из которых действующими являются лишь 5.</w:t>
      </w:r>
    </w:p>
    <w:p w:rsidR="00F55BE4" w:rsidRDefault="009D19E0">
      <w:pPr>
        <w:pStyle w:val="30"/>
        <w:framePr w:w="9682" w:h="14927" w:hRule="exact" w:wrap="around" w:vAnchor="page" w:hAnchor="page" w:x="1126" w:y="965"/>
        <w:shd w:val="clear" w:color="auto" w:fill="auto"/>
      </w:pPr>
      <w:r>
        <w:t>Основу экономического потенциала составляют: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1080"/>
        <w:jc w:val="both"/>
      </w:pPr>
      <w:r>
        <w:t>Основной террит</w:t>
      </w:r>
      <w:r>
        <w:t xml:space="preserve">ориальной специализацией являются сельское хозяйство, лесное хозяйство. Сельское хозяйство на нашей территории представляют ООО «Сельскохозяйственное предприятие «ВОСХОД» и ЗАО «Агротехника» отделение Чудской Бор. Лесное хозяйство - </w:t>
      </w:r>
      <w:proofErr w:type="spellStart"/>
      <w:r>
        <w:t>Любанское</w:t>
      </w:r>
      <w:proofErr w:type="spellEnd"/>
      <w:r>
        <w:t xml:space="preserve"> лесничество (</w:t>
      </w:r>
      <w:r>
        <w:t>заготовка древесины и ведение лесного хозяйства). Активно развиваются фермерские хозяйства Лукьянова Е.А. и Дубровского Е. в деревне Бабино.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tabs>
          <w:tab w:val="right" w:pos="4729"/>
          <w:tab w:val="left" w:pos="4983"/>
        </w:tabs>
        <w:spacing w:before="0" w:after="0" w:line="355" w:lineRule="exact"/>
        <w:ind w:left="20" w:right="20" w:firstLine="1080"/>
        <w:jc w:val="both"/>
      </w:pPr>
      <w:r>
        <w:t>Функционируют объекты придорожного сервиса, расположенные вдоль трассы «Россия» Москва-Санкт-Петербург»:</w:t>
      </w:r>
      <w:r>
        <w:tab/>
      </w:r>
      <w:proofErr w:type="gramStart"/>
      <w:r>
        <w:t>ООО</w:t>
      </w:r>
      <w:r>
        <w:tab/>
        <w:t>«Татне</w:t>
      </w:r>
      <w:r>
        <w:t>фть-Северо-Запад» (автозаправочная</w:t>
      </w:r>
      <w:proofErr w:type="gramEnd"/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0"/>
        <w:jc w:val="both"/>
      </w:pPr>
      <w:r>
        <w:t xml:space="preserve">станция, кафе, магазин), ООО «АВРО» (автозаправочная станция, магазин). В 2012 году начала деятельность компания «РНК-Северная столица», открыв две АЗС в </w:t>
      </w:r>
      <w:proofErr w:type="spellStart"/>
      <w:r>
        <w:t>дер</w:t>
      </w:r>
      <w:proofErr w:type="gramStart"/>
      <w:r>
        <w:t>.Т</w:t>
      </w:r>
      <w:proofErr w:type="gramEnd"/>
      <w:r>
        <w:t>рубников</w:t>
      </w:r>
      <w:proofErr w:type="spellEnd"/>
      <w:r>
        <w:t xml:space="preserve"> Бор.</w:t>
      </w:r>
    </w:p>
    <w:p w:rsidR="00F55BE4" w:rsidRDefault="009D19E0">
      <w:pPr>
        <w:pStyle w:val="21"/>
        <w:framePr w:w="9682" w:h="14927" w:hRule="exact" w:wrap="around" w:vAnchor="page" w:hAnchor="page" w:x="1126" w:y="965"/>
        <w:shd w:val="clear" w:color="auto" w:fill="auto"/>
        <w:spacing w:before="0" w:after="0" w:line="355" w:lineRule="exact"/>
        <w:ind w:left="20" w:right="20" w:firstLine="1080"/>
        <w:jc w:val="both"/>
      </w:pPr>
      <w:r>
        <w:t>Предприятия в сфере малого бизнеса и потребитель</w:t>
      </w:r>
      <w:r>
        <w:t xml:space="preserve">ского рынка, деятельность </w:t>
      </w:r>
      <w:proofErr w:type="gramStart"/>
      <w:r>
        <w:t>которых</w:t>
      </w:r>
      <w:proofErr w:type="gramEnd"/>
      <w:r>
        <w:t xml:space="preserve"> </w:t>
      </w:r>
      <w:proofErr w:type="gramStart"/>
      <w:r>
        <w:t>сосредоточена</w:t>
      </w:r>
      <w:proofErr w:type="gramEnd"/>
      <w:r>
        <w:t>, в основном, на торгово-закупочной деятельности: ЛОСПО «</w:t>
      </w:r>
      <w:proofErr w:type="spellStart"/>
      <w:r>
        <w:t>Тосненское</w:t>
      </w:r>
      <w:proofErr w:type="spellEnd"/>
      <w:r>
        <w:t xml:space="preserve"> районное потребительское общество (магазины </w:t>
      </w:r>
      <w:proofErr w:type="spellStart"/>
      <w:r>
        <w:t>дер</w:t>
      </w:r>
      <w:proofErr w:type="gramStart"/>
      <w:r>
        <w:t>.Б</w:t>
      </w:r>
      <w:proofErr w:type="gramEnd"/>
      <w:r>
        <w:t>абино</w:t>
      </w:r>
      <w:proofErr w:type="spellEnd"/>
      <w:r>
        <w:t xml:space="preserve">, дер. Померанье, </w:t>
      </w:r>
      <w:proofErr w:type="spellStart"/>
      <w:r>
        <w:t>д.Чудской</w:t>
      </w:r>
      <w:proofErr w:type="spellEnd"/>
      <w:r>
        <w:t xml:space="preserve"> Бор - продажа продуктов и хозяйственных товаров), ООО «Иван</w:t>
      </w:r>
      <w:r>
        <w:t>ов и К</w:t>
      </w:r>
      <w:r>
        <w:rPr>
          <w:vertAlign w:val="superscript"/>
        </w:rPr>
        <w:t>0</w:t>
      </w:r>
      <w:r>
        <w:t>» (1 магазин действует постоянно, 4 - сезонные, обеспечивающие товарами дачные массивы), ООО «Фермер» (магазин), ИП Усманов В.Ю. (магазин), ИП Царенко А.В. и ООО «Альянс» (расположенные в общем торговом центре «Белые ночи» магазин, кафе), ООО ТД «</w:t>
      </w:r>
      <w:proofErr w:type="spellStart"/>
      <w:r>
        <w:t>Ти</w:t>
      </w:r>
      <w:r>
        <w:t>года</w:t>
      </w:r>
      <w:proofErr w:type="spellEnd"/>
      <w:r>
        <w:t>»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65" w:lineRule="exact"/>
        <w:ind w:left="20" w:right="20" w:firstLine="0"/>
        <w:jc w:val="both"/>
      </w:pPr>
      <w:proofErr w:type="gramStart"/>
      <w:r>
        <w:lastRenderedPageBreak/>
        <w:t>(кафе «Харчевня»), ООО «Людмила» (кафе на территории АЗС «Татнефть-Северо-Запад».</w:t>
      </w:r>
      <w:proofErr w:type="gramEnd"/>
      <w:r>
        <w:t xml:space="preserve"> С марта 2019 года в помещении комплекса «Белые ночи» начал работу магазин сети «Магнит».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308" w:line="370" w:lineRule="exact"/>
        <w:ind w:left="20" w:right="20" w:firstLine="1080"/>
        <w:jc w:val="both"/>
      </w:pPr>
      <w:r>
        <w:t>Случаев прекращения деятельности и ликвидации предприятий</w:t>
      </w:r>
      <w:r>
        <w:t xml:space="preserve"> в 2020 году, перехода на сокращенную рабочую неделю и массовых увольнений не было.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308" w:line="360" w:lineRule="exact"/>
        <w:ind w:left="20" w:right="20" w:firstLine="900"/>
        <w:jc w:val="both"/>
      </w:pPr>
      <w:r>
        <w:t xml:space="preserve">При размещении объекта на территории Трубникоборского сельского поселения Тосненского района </w:t>
      </w:r>
      <w:bookmarkStart w:id="1" w:name="_GoBack"/>
      <w:bookmarkEnd w:id="1"/>
      <w:r>
        <w:t>Ленинградской области в обязательном порядке учитывается экономическая целесооб</w:t>
      </w:r>
      <w:r>
        <w:t>разность, соблюдение требований санитарного, экологического, градостроительного, земельного законодательства, а также мнение и волеизъявление жителей, проживающих на территории поселения.</w:t>
      </w:r>
    </w:p>
    <w:p w:rsidR="00F55BE4" w:rsidRDefault="009D19E0">
      <w:pPr>
        <w:pStyle w:val="30"/>
        <w:framePr w:w="9686" w:h="15238" w:hRule="exact" w:wrap="around" w:vAnchor="page" w:hAnchor="page" w:x="1124" w:y="807"/>
        <w:shd w:val="clear" w:color="auto" w:fill="auto"/>
        <w:spacing w:line="350" w:lineRule="exact"/>
        <w:ind w:left="20"/>
      </w:pPr>
      <w:r>
        <w:t>Транспортное обслуживание и транспортная доступность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>Трубникоборское</w:t>
      </w:r>
      <w:r>
        <w:t xml:space="preserve"> сельское поселение имеет благоприятное </w:t>
      </w:r>
      <w:proofErr w:type="spellStart"/>
      <w:r>
        <w:t>транспортно</w:t>
      </w:r>
      <w:r>
        <w:softHyphen/>
        <w:t>географическое</w:t>
      </w:r>
      <w:proofErr w:type="spellEnd"/>
      <w:r>
        <w:t xml:space="preserve"> положение.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>По территории поселения проходит Октябрьская железная дорога Москва - Санкт- Петербург. Имеется железнодорожные станции в 4 населенных пунктах.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 xml:space="preserve">Также по территории проходит </w:t>
      </w:r>
      <w:r>
        <w:t>автодорога «Россия» Москва-Санкт-Петербург, которая проходит через 4 населенных пункта поселения. С ноября 2019 года начала работу автомобильная трасса М-11 Москва-Санкт-Петербург.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>Общая протяженность автомобильных дорог, находящихся на территории муниципа</w:t>
      </w:r>
      <w:r>
        <w:t xml:space="preserve">льного образования, составляет 109,7 км: 50 км - региональные дороги, 23 км - федеральные дороги, 36,7 км - муниципальные дороги. </w:t>
      </w:r>
      <w:proofErr w:type="gramStart"/>
      <w:r>
        <w:t>Искусственные сооружения: муниципальные: 5 мостов (2 из них для легкового автотранспорта), территориальные: 1 мост, федеральны</w:t>
      </w:r>
      <w:r>
        <w:t>е: 1 (автотрасса «Россия»).</w:t>
      </w:r>
      <w:proofErr w:type="gramEnd"/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>Пассажирские перевозки в муниципальном образовании осуществляет ООО «Транс-</w:t>
      </w:r>
      <w:proofErr w:type="spellStart"/>
      <w:r>
        <w:t>Балт</w:t>
      </w:r>
      <w:proofErr w:type="spellEnd"/>
      <w:r>
        <w:t>», осуществляющее перевозку граждан по трем маршрутам. С 2016 года по просьбам жителей автобус 321 маршрута 2 раза в день заезжает в дер. Вороний Ост</w:t>
      </w:r>
      <w:r>
        <w:t>ров.</w:t>
      </w:r>
    </w:p>
    <w:p w:rsidR="00F55BE4" w:rsidRDefault="009D19E0">
      <w:pPr>
        <w:pStyle w:val="30"/>
        <w:framePr w:w="9686" w:h="15238" w:hRule="exact" w:wrap="around" w:vAnchor="page" w:hAnchor="page" w:x="1124" w:y="807"/>
        <w:shd w:val="clear" w:color="auto" w:fill="auto"/>
        <w:spacing w:line="350" w:lineRule="exact"/>
        <w:ind w:left="20"/>
      </w:pPr>
      <w:r>
        <w:t>Социальная сфера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 xml:space="preserve">Реализовываются приоритетные национальные </w:t>
      </w:r>
      <w:proofErr w:type="gramStart"/>
      <w:r>
        <w:t>проекте</w:t>
      </w:r>
      <w:proofErr w:type="gramEnd"/>
      <w:r>
        <w:t xml:space="preserve"> «Здоровье», «Образование» и «Доступное жилье».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firstLine="1080"/>
        <w:jc w:val="both"/>
      </w:pPr>
      <w:r>
        <w:rPr>
          <w:rStyle w:val="11"/>
        </w:rPr>
        <w:t>Жилищная политика.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 xml:space="preserve">В 2020 году заключено -2 договор приватизации. Получили субсидии - 0 семьи. На 01.01.2021 года в очереди на улучшение </w:t>
      </w:r>
      <w:r>
        <w:t>жилищных условий состоит 36 семей из 118 человек, из которых 21 семья(62 чел.), участвуют в различных программах. Администрацией проведено обследование жилищных условий 1 ветерану ВОВ, в результате на средства бюджета Ленинградской области проведен капитал</w:t>
      </w:r>
      <w:r>
        <w:t>ьный ремонт домов 2 ветеранов. На 2021 год запланирован ремонт домов 1 ветерану.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firstLine="1080"/>
        <w:jc w:val="both"/>
      </w:pPr>
      <w:r>
        <w:rPr>
          <w:rStyle w:val="11"/>
        </w:rPr>
        <w:t>Здравоохранение.</w:t>
      </w:r>
    </w:p>
    <w:p w:rsidR="00F55BE4" w:rsidRDefault="009D19E0">
      <w:pPr>
        <w:pStyle w:val="21"/>
        <w:framePr w:w="9686" w:h="15238" w:hRule="exact" w:wrap="around" w:vAnchor="page" w:hAnchor="page" w:x="1124" w:y="807"/>
        <w:shd w:val="clear" w:color="auto" w:fill="auto"/>
        <w:spacing w:before="0" w:after="0" w:line="350" w:lineRule="exact"/>
        <w:ind w:left="20" w:right="20" w:firstLine="1080"/>
        <w:jc w:val="both"/>
      </w:pPr>
      <w:r>
        <w:t>Главная задача в реализации национального проекта «Здоровье» - укрепить первичное звено в сфере здравоохранения, снизить смертность среди населения от социаль</w:t>
      </w:r>
      <w:r>
        <w:t xml:space="preserve">но значимых заболеваний, повысить качество и доступность первичной медицинской помощи и др., привлекать на работу молодых специалистов. В Трубникоборском сельском поселении работает в настоящее время 3 </w:t>
      </w:r>
      <w:proofErr w:type="spellStart"/>
      <w:r>
        <w:t>ФАП</w:t>
      </w:r>
      <w:proofErr w:type="gramStart"/>
      <w:r>
        <w:t>а</w:t>
      </w:r>
      <w:proofErr w:type="spellEnd"/>
      <w:r>
        <w:t>-</w:t>
      </w:r>
      <w:proofErr w:type="gramEnd"/>
      <w:r>
        <w:t xml:space="preserve"> в д. Трубников Бор, в д. Чудской Бор и в д. Баби</w:t>
      </w:r>
      <w:r>
        <w:t>но,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0"/>
        <w:jc w:val="both"/>
      </w:pPr>
      <w:r>
        <w:lastRenderedPageBreak/>
        <w:t xml:space="preserve">планируется строительство нового ФАП в Бабино, так как </w:t>
      </w:r>
      <w:proofErr w:type="gramStart"/>
      <w:r>
        <w:t>старый</w:t>
      </w:r>
      <w:proofErr w:type="gramEnd"/>
      <w:r>
        <w:t xml:space="preserve"> уже не </w:t>
      </w:r>
      <w:proofErr w:type="spellStart"/>
      <w:r>
        <w:t>соответсвует</w:t>
      </w:r>
      <w:proofErr w:type="spellEnd"/>
      <w:r>
        <w:t xml:space="preserve"> никаким нормам.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firstLine="1080"/>
        <w:jc w:val="both"/>
      </w:pPr>
      <w:r>
        <w:rPr>
          <w:rStyle w:val="11"/>
        </w:rPr>
        <w:t>Образование.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1080"/>
        <w:jc w:val="both"/>
      </w:pPr>
      <w:r>
        <w:t xml:space="preserve">Образование в Трубникоборском сельском поселении представляет </w:t>
      </w:r>
      <w:proofErr w:type="spellStart"/>
      <w:r>
        <w:t>Трубникоборская</w:t>
      </w:r>
      <w:proofErr w:type="spellEnd"/>
      <w:r>
        <w:t xml:space="preserve"> средняя общеобразовательная школа. </w:t>
      </w:r>
      <w:r>
        <w:t>Проектная мощность школы - 220 мест, из них учащихся по состоянию на 01.01.2021 года - 86 человек. Данная ситуация возникла из-за ухудшения демографической ситуации и по причине удаленности детских дошкольных учреждений. Дошкольников приходится возить в др</w:t>
      </w:r>
      <w:r>
        <w:t>угие поселения (</w:t>
      </w:r>
      <w:proofErr w:type="spellStart"/>
      <w:r>
        <w:t>г</w:t>
      </w:r>
      <w:proofErr w:type="gramStart"/>
      <w:r>
        <w:t>.Л</w:t>
      </w:r>
      <w:proofErr w:type="gramEnd"/>
      <w:r>
        <w:t>юбань</w:t>
      </w:r>
      <w:proofErr w:type="spellEnd"/>
      <w:r>
        <w:t xml:space="preserve">, </w:t>
      </w:r>
      <w:proofErr w:type="spellStart"/>
      <w:r>
        <w:t>п.Сельцо</w:t>
      </w:r>
      <w:proofErr w:type="spellEnd"/>
      <w:r>
        <w:t>), часть детей учится в школах г. Любань и п. Сельцо.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firstLine="1080"/>
        <w:jc w:val="both"/>
      </w:pPr>
      <w:r>
        <w:rPr>
          <w:rStyle w:val="11"/>
        </w:rPr>
        <w:t>Культура и спорт.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1080"/>
        <w:jc w:val="both"/>
      </w:pPr>
      <w:r>
        <w:t xml:space="preserve">На базе </w:t>
      </w:r>
      <w:proofErr w:type="spellStart"/>
      <w:r>
        <w:t>Трубникоборской</w:t>
      </w:r>
      <w:proofErr w:type="spellEnd"/>
      <w:r>
        <w:t xml:space="preserve"> школы организована секция по гиревому спорту, руководит которым Петров С.Б., депутат местного Совета депутатов. На пришкольной</w:t>
      </w:r>
      <w:r>
        <w:t xml:space="preserve"> территории действует </w:t>
      </w:r>
      <w:proofErr w:type="gramStart"/>
      <w:r>
        <w:t>спортивная</w:t>
      </w:r>
      <w:proofErr w:type="gramEnd"/>
      <w:r>
        <w:t xml:space="preserve"> </w:t>
      </w:r>
      <w:proofErr w:type="spellStart"/>
      <w:r>
        <w:t>плошдцка</w:t>
      </w:r>
      <w:proofErr w:type="spellEnd"/>
      <w:r>
        <w:t>, построенная по программе «Газпром - детям», собственными силами построен и функционирует каток, на котором проводятся такие соревнования, как хоккей в валенках и др.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1080"/>
        <w:jc w:val="both"/>
      </w:pPr>
      <w:r>
        <w:t>В данных секциях занимаются от 30 до 40 человек</w:t>
      </w:r>
      <w:r>
        <w:t>. Тренер по гиревому спорту - кандидат в мастера спорта, работает по трудовому соглашению, заключенному с администрацией поселения.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240"/>
        <w:jc w:val="both"/>
      </w:pPr>
      <w:r>
        <w:t>В дер. Трубников Бор и дер. Чудской Бор располагаются 2 спортивных зала и 1 спортивная площадка. Здание СУЦ в дер. Чудской Б</w:t>
      </w:r>
      <w:r>
        <w:t>ор в настоящее время используется только под ФАП и помещение под библиотеку. В здании требуется серьёзный ремонт всех помещений, систем отопления, электроснабжения и др. Для включения в программу ремонта через комитет АПК необходимо поменять вид разрешенно</w:t>
      </w:r>
      <w:r>
        <w:t xml:space="preserve">го использования, что возможно через внесение изменений в Генплан поселения и ПЗЗ. Начало работ по внесению изменений в Генплан поселения запланирован на 2020 год. </w:t>
      </w:r>
      <w:proofErr w:type="spellStart"/>
      <w:r>
        <w:t>Бабинская</w:t>
      </w:r>
      <w:proofErr w:type="spellEnd"/>
      <w:r>
        <w:t xml:space="preserve"> библиотека из-за отсутствия помещения в данный момент не работает.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55" w:lineRule="exact"/>
        <w:ind w:left="20" w:right="20" w:firstLine="1080"/>
        <w:jc w:val="both"/>
      </w:pPr>
      <w:r>
        <w:t>В дер. Трубнико</w:t>
      </w:r>
      <w:r>
        <w:t>в Бор располагается исторический памятник - парк Багратиона. Площадь парка составляет 11 га. Цель - охрана природного комплекса с лесопарком, редкими видами растений и животных.</w:t>
      </w:r>
    </w:p>
    <w:p w:rsidR="00F55BE4" w:rsidRDefault="009D19E0">
      <w:pPr>
        <w:pStyle w:val="21"/>
        <w:framePr w:w="9691" w:h="11315" w:hRule="exact" w:wrap="around" w:vAnchor="page" w:hAnchor="page" w:x="1122" w:y="807"/>
        <w:shd w:val="clear" w:color="auto" w:fill="auto"/>
        <w:spacing w:before="0" w:after="0" w:line="346" w:lineRule="exact"/>
        <w:ind w:left="20" w:right="20" w:firstLine="1080"/>
        <w:jc w:val="both"/>
      </w:pPr>
      <w:r>
        <w:t xml:space="preserve">Регулярно проводятся массовые мероприятия. Районная концертная группа «Камея» </w:t>
      </w:r>
      <w:r>
        <w:t>делает незабываемыми культурные мероприятия не только в административном центре, но и в небольших деревнях.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10"/>
        <w:framePr w:w="9706" w:h="15267" w:hRule="exact" w:wrap="around" w:vAnchor="page" w:hAnchor="page" w:x="1108" w:y="795"/>
        <w:shd w:val="clear" w:color="auto" w:fill="auto"/>
        <w:spacing w:after="20" w:line="240" w:lineRule="exact"/>
        <w:ind w:left="1140"/>
      </w:pPr>
      <w:bookmarkStart w:id="2" w:name="bookmark1"/>
      <w:r>
        <w:lastRenderedPageBreak/>
        <w:t>Отчет главы Трубникоборского сельского поселения за 2020 год</w:t>
      </w:r>
      <w:bookmarkEnd w:id="2"/>
    </w:p>
    <w:p w:rsidR="00F55BE4" w:rsidRDefault="009D19E0">
      <w:pPr>
        <w:pStyle w:val="30"/>
        <w:framePr w:w="9706" w:h="15267" w:hRule="exact" w:wrap="around" w:vAnchor="page" w:hAnchor="page" w:x="1108" w:y="795"/>
        <w:shd w:val="clear" w:color="auto" w:fill="auto"/>
        <w:spacing w:line="350" w:lineRule="exact"/>
        <w:ind w:left="4780"/>
        <w:jc w:val="left"/>
      </w:pPr>
      <w:r>
        <w:t>Бюджет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r>
        <w:t>Бюджет 2020 года с учетом изменений утвержден с дефицитом,</w:t>
      </w:r>
      <w:r>
        <w:t xml:space="preserve"> источником покрытия дефицита является остаток средств на счете. План по доходам в общей сумме - 28 332 651,02 рублей, по расходам - 29 749 902,54 рублей, дефицит - 1 417 251,52 рублей.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r>
        <w:t xml:space="preserve">В целом за 2020 год исполнение бюджета поселения </w:t>
      </w:r>
      <w:r>
        <w:rPr>
          <w:rStyle w:val="a5"/>
        </w:rPr>
        <w:t>по доходам</w:t>
      </w:r>
      <w:r>
        <w:rPr>
          <w:rStyle w:val="a6"/>
        </w:rPr>
        <w:t xml:space="preserve"> </w:t>
      </w:r>
      <w:r>
        <w:t xml:space="preserve">составило </w:t>
      </w:r>
      <w:r>
        <w:t xml:space="preserve">26 772 127,83 руб. (94,5% от бюджетных назначений), что на 4,5 % меньше, чем в 2019 году. Налоговые доходы собраны на 91,7 %, низкие проценты исполнения по следующим источникам: акцизы по подакцизным товарам - 83,3%, что объясняется уплатой акцизов исходя </w:t>
      </w:r>
      <w:r>
        <w:t xml:space="preserve">из фактической реализации подакцизных товаров; налог на доходы физических лиц - 82,7%, что объясняется уплатой налога на доходы физических лиц исходя из фактической суммы полученных доходов; налог на имущество физических лиц - 83,5 </w:t>
      </w:r>
      <w:r>
        <w:rPr>
          <w:rStyle w:val="115pt0pt"/>
        </w:rPr>
        <w:t>%,</w:t>
      </w:r>
      <w:r>
        <w:t xml:space="preserve"> что объясняется росто</w:t>
      </w:r>
      <w:r>
        <w:t>м задолженности населения по сравнению с предшествующим годом. Поступления по неналоговым источникам составили 85,3 %. За 2019 год поступило доходов без учета безвозмездных поступлений 14 820 155,77 руб., за 2020 год поступило доходов без учета безвозмездн</w:t>
      </w:r>
      <w:r>
        <w:t>ых поступлений 14 184 640,46 руб.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firstLine="700"/>
        <w:jc w:val="both"/>
      </w:pPr>
      <w:r>
        <w:t xml:space="preserve">В сравнении с 2019 годом доходная часть бюджета 2020 года в целом увеличилась </w:t>
      </w:r>
      <w:proofErr w:type="gramStart"/>
      <w:r>
        <w:t>на</w:t>
      </w:r>
      <w:proofErr w:type="gramEnd"/>
    </w:p>
    <w:p w:rsidR="00F55BE4" w:rsidRDefault="009D19E0">
      <w:pPr>
        <w:pStyle w:val="21"/>
        <w:framePr w:w="9706" w:h="15267" w:hRule="exact" w:wrap="around" w:vAnchor="page" w:hAnchor="page" w:x="1108" w:y="795"/>
        <w:numPr>
          <w:ilvl w:val="0"/>
          <w:numId w:val="2"/>
        </w:numPr>
        <w:shd w:val="clear" w:color="auto" w:fill="auto"/>
        <w:spacing w:before="0" w:after="0" w:line="350" w:lineRule="exact"/>
        <w:ind w:left="20" w:firstLine="0"/>
      </w:pPr>
      <w:r>
        <w:t xml:space="preserve"> 504,4 тыс. рублей это связано:</w:t>
      </w:r>
    </w:p>
    <w:p w:rsidR="00F55BE4" w:rsidRDefault="009D19E0">
      <w:pPr>
        <w:pStyle w:val="21"/>
        <w:framePr w:w="9706" w:h="15267" w:hRule="exact" w:wrap="around" w:vAnchor="page" w:hAnchor="page" w:x="1108" w:y="795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50" w:lineRule="exact"/>
        <w:ind w:left="20" w:firstLine="700"/>
        <w:jc w:val="both"/>
      </w:pPr>
      <w:r>
        <w:t xml:space="preserve">с увеличением доли </w:t>
      </w:r>
      <w:proofErr w:type="gramStart"/>
      <w:r>
        <w:t>безвозмездных</w:t>
      </w:r>
      <w:proofErr w:type="gramEnd"/>
      <w:r>
        <w:t xml:space="preserve"> поступления за счет областного бюджета </w:t>
      </w:r>
      <w:r>
        <w:rPr>
          <w:lang w:val="en-US" w:eastAsia="en-US" w:bidi="en-US"/>
        </w:rPr>
        <w:t>J</w:t>
      </w:r>
      <w:r w:rsidRPr="009D19E0">
        <w:rPr>
          <w:lang w:eastAsia="en-US" w:bidi="en-US"/>
        </w:rPr>
        <w:t xml:space="preserve">10 </w:t>
      </w:r>
      <w:r>
        <w:t>на</w:t>
      </w:r>
    </w:p>
    <w:p w:rsidR="00F55BE4" w:rsidRDefault="009D19E0">
      <w:pPr>
        <w:pStyle w:val="21"/>
        <w:framePr w:w="9706" w:h="15267" w:hRule="exact" w:wrap="around" w:vAnchor="page" w:hAnchor="page" w:x="1108" w:y="795"/>
        <w:numPr>
          <w:ilvl w:val="0"/>
          <w:numId w:val="2"/>
        </w:numPr>
        <w:shd w:val="clear" w:color="auto" w:fill="auto"/>
        <w:spacing w:before="0" w:after="0" w:line="350" w:lineRule="exact"/>
        <w:ind w:left="20" w:firstLine="0"/>
      </w:pPr>
      <w:r>
        <w:t xml:space="preserve"> 136,9 тыс. руб.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r>
        <w:rPr>
          <w:rStyle w:val="a5"/>
        </w:rPr>
        <w:t>По расходам</w:t>
      </w:r>
      <w:r>
        <w:rPr>
          <w:rStyle w:val="a6"/>
        </w:rPr>
        <w:t xml:space="preserve"> </w:t>
      </w:r>
      <w:r>
        <w:t>исполнение бюджета за 2020 год составило 26 437 943,71 руб. (88,9% от бюджетных назначений), что в сравнении с 2019 годом осталось на прежнем уровне. За 2019 год произведено расходов без учета безвозмездных поступлений 15 184 534,97 руб., за 2020 год произ</w:t>
      </w:r>
      <w:r>
        <w:t>ведено расходов без учета безвозмездных поступлений 15 101 056,34 руб.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r>
        <w:t>На низкий процент исполнения расходной части бюджета повлияло экономия по отдельным статьям, таким как прочие работы и слуги, услуги связи, экономия сре</w:t>
      </w:r>
      <w:proofErr w:type="gramStart"/>
      <w:r>
        <w:t>дств пр</w:t>
      </w:r>
      <w:proofErr w:type="gramEnd"/>
      <w:r>
        <w:t>и проведении конкурсных пр</w:t>
      </w:r>
      <w:r>
        <w:t>оцедур, а так же часть мероприятий была перенесена на 2021 год.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firstLine="700"/>
        <w:jc w:val="both"/>
      </w:pPr>
      <w:r>
        <w:t>Коротко о каждом разделе расходной части бюджета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r>
        <w:rPr>
          <w:rStyle w:val="11"/>
        </w:rPr>
        <w:t>Общегосударственные вопросы</w:t>
      </w:r>
      <w:r>
        <w:t xml:space="preserve"> - план 10 939 643,61 рублей выполнен на. 79 %, произошла экономия по прочим услугам и прочим расходам для обеспечен</w:t>
      </w:r>
      <w:r>
        <w:t>ия общегосударственных нужд. (В том числе расходы на содержание аппарата управления по факту - 8 461 394,98 рублей, из них заработная плата с начислениями - 6 605 853,39 руб.)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firstLine="700"/>
        <w:jc w:val="both"/>
      </w:pPr>
      <w:r>
        <w:rPr>
          <w:rStyle w:val="11"/>
        </w:rPr>
        <w:t>Мобилизационная и вневойсковая подготовка</w:t>
      </w:r>
      <w:r>
        <w:t xml:space="preserve"> - 157 700,00 рублей (</w:t>
      </w:r>
      <w:proofErr w:type="gramStart"/>
      <w:r>
        <w:t>выполнен</w:t>
      </w:r>
      <w:proofErr w:type="gramEnd"/>
      <w:r>
        <w:t xml:space="preserve"> на 100%)</w:t>
      </w:r>
    </w:p>
    <w:p w:rsidR="00F55BE4" w:rsidRDefault="009D19E0">
      <w:pPr>
        <w:pStyle w:val="21"/>
        <w:framePr w:w="9706" w:h="15267" w:hRule="exact" w:wrap="around" w:vAnchor="page" w:hAnchor="page" w:x="1108" w:y="795"/>
        <w:numPr>
          <w:ilvl w:val="0"/>
          <w:numId w:val="4"/>
        </w:numPr>
        <w:shd w:val="clear" w:color="auto" w:fill="auto"/>
        <w:spacing w:before="0" w:after="0" w:line="350" w:lineRule="exact"/>
        <w:ind w:left="20" w:firstLine="0"/>
      </w:pPr>
      <w:r>
        <w:t xml:space="preserve"> содержание военно-учетного работника за счет субвенций.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right="20" w:firstLine="700"/>
        <w:jc w:val="both"/>
      </w:pPr>
      <w:proofErr w:type="gramStart"/>
      <w:r>
        <w:rPr>
          <w:rStyle w:val="11"/>
        </w:rPr>
        <w:t>Национальная безопасность и правоохранительная деятельность</w:t>
      </w:r>
      <w:r>
        <w:t xml:space="preserve"> - план 174 520,00 рублей выполнен на 100 %, проведены работы по чистке пожарных водоемов, </w:t>
      </w:r>
      <w:proofErr w:type="spellStart"/>
      <w:r>
        <w:t>обкашивание</w:t>
      </w:r>
      <w:proofErr w:type="spellEnd"/>
      <w:r>
        <w:t xml:space="preserve"> территории вокруг пожарных водоемов, установка утерянных знаков у пожарных водоемов, работы по обустройству пожарного заезда к реке </w:t>
      </w:r>
      <w:proofErr w:type="spellStart"/>
      <w:r>
        <w:t>Равань</w:t>
      </w:r>
      <w:proofErr w:type="spellEnd"/>
      <w:r>
        <w:t xml:space="preserve"> у пешеходного </w:t>
      </w:r>
      <w:r>
        <w:t xml:space="preserve">моста в д. </w:t>
      </w:r>
      <w:proofErr w:type="spellStart"/>
      <w:r>
        <w:t>Бабинская</w:t>
      </w:r>
      <w:proofErr w:type="spellEnd"/>
      <w:r>
        <w:t xml:space="preserve"> Лука, работы по чистке пожарных водоемов в дер. Чудской Бор и </w:t>
      </w:r>
      <w:proofErr w:type="spellStart"/>
      <w:r>
        <w:t>Черемная</w:t>
      </w:r>
      <w:proofErr w:type="spellEnd"/>
      <w:r>
        <w:t xml:space="preserve"> Гора, оплата услуг по несению</w:t>
      </w:r>
      <w:proofErr w:type="gramEnd"/>
      <w:r>
        <w:t xml:space="preserve"> аварийно-спасательной готовности на территории Трубникоборского СП, обеспечение канцелярией административной комиссии 3,5 тыс. руб.</w:t>
      </w:r>
    </w:p>
    <w:p w:rsidR="00F55BE4" w:rsidRDefault="009D19E0">
      <w:pPr>
        <w:pStyle w:val="21"/>
        <w:framePr w:w="9706" w:h="15267" w:hRule="exact" w:wrap="around" w:vAnchor="page" w:hAnchor="page" w:x="1108" w:y="795"/>
        <w:shd w:val="clear" w:color="auto" w:fill="auto"/>
        <w:spacing w:before="0" w:after="0" w:line="350" w:lineRule="exact"/>
        <w:ind w:left="20" w:firstLine="700"/>
        <w:jc w:val="both"/>
      </w:pPr>
      <w:proofErr w:type="gramStart"/>
      <w:r>
        <w:rPr>
          <w:rStyle w:val="11"/>
        </w:rPr>
        <w:t>До</w:t>
      </w:r>
      <w:r>
        <w:rPr>
          <w:rStyle w:val="11"/>
        </w:rPr>
        <w:t>рожное хозяйство</w:t>
      </w:r>
      <w:r>
        <w:t xml:space="preserve"> - план 7 754 927,01 рублей (состоит из средств дорожного фонда</w:t>
      </w:r>
      <w:proofErr w:type="gramEnd"/>
    </w:p>
    <w:p w:rsidR="00F55BE4" w:rsidRDefault="009D19E0">
      <w:pPr>
        <w:pStyle w:val="21"/>
        <w:framePr w:w="9706" w:h="15267" w:hRule="exact" w:wrap="around" w:vAnchor="page" w:hAnchor="page" w:x="1108" w:y="795"/>
        <w:numPr>
          <w:ilvl w:val="0"/>
          <w:numId w:val="4"/>
        </w:numPr>
        <w:shd w:val="clear" w:color="auto" w:fill="auto"/>
        <w:spacing w:before="0" w:after="0" w:line="350" w:lineRule="exact"/>
        <w:ind w:left="20" w:firstLine="0"/>
        <w:jc w:val="both"/>
      </w:pPr>
      <w:r>
        <w:t xml:space="preserve"> 4 427 136,9 рублей, в том числе субсидии на ремонт дорог из областного бюджета -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21"/>
        <w:framePr w:w="9696" w:h="14980" w:hRule="exact" w:wrap="around" w:vAnchor="page" w:hAnchor="page" w:x="1113" w:y="886"/>
        <w:shd w:val="clear" w:color="auto" w:fill="auto"/>
        <w:spacing w:before="0" w:after="0" w:line="355" w:lineRule="exact"/>
        <w:ind w:left="20" w:firstLine="0"/>
        <w:jc w:val="both"/>
      </w:pPr>
      <w:r>
        <w:lastRenderedPageBreak/>
        <w:t xml:space="preserve">2 099 399,10 рублей; </w:t>
      </w:r>
      <w:proofErr w:type="gramStart"/>
      <w:r>
        <w:t xml:space="preserve">субсидии из областного бюджета на развитие части </w:t>
      </w:r>
      <w:r>
        <w:t xml:space="preserve">территории - 516 403,00 рублей руб., субсидии на развитие части территории, являющейся административным центром - 1 442 425,52 руб. и средств местного бюджета на </w:t>
      </w:r>
      <w:proofErr w:type="spellStart"/>
      <w:r>
        <w:t>софинансирование</w:t>
      </w:r>
      <w:proofErr w:type="spellEnd"/>
      <w:r>
        <w:t xml:space="preserve"> мероприятий по развитию части территории и части территории, являющейся админ</w:t>
      </w:r>
      <w:r>
        <w:t>истративным центром - 27 760,00 рублей и 77 517,38 рублей соответственно) выполнен на 96 %. В рамках данного раздела проведены мероприятия:</w:t>
      </w:r>
      <w:proofErr w:type="gramEnd"/>
    </w:p>
    <w:p w:rsidR="00F55BE4" w:rsidRDefault="009D19E0">
      <w:pPr>
        <w:pStyle w:val="21"/>
        <w:framePr w:w="9696" w:h="14980" w:hRule="exact" w:wrap="around" w:vAnchor="page" w:hAnchor="page" w:x="1113" w:y="886"/>
        <w:numPr>
          <w:ilvl w:val="0"/>
          <w:numId w:val="4"/>
        </w:numPr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 за счет средств дорожного фонда: работы по ремонту автомобильной дороги местного значения по ул. Мира у </w:t>
      </w:r>
      <w:r>
        <w:rPr>
          <w:rStyle w:val="95pt0pt"/>
        </w:rPr>
        <w:t xml:space="preserve">Д.27Г </w:t>
      </w:r>
      <w:r>
        <w:t>в дер</w:t>
      </w:r>
      <w:r>
        <w:t xml:space="preserve">. Трубников Бор (в том числе за счет областного бюджета 661 500,00 руб.); </w:t>
      </w:r>
      <w:proofErr w:type="gramStart"/>
      <w:r>
        <w:t xml:space="preserve">ремонт автомобильной дороги местного значения по ул. Парковая от Московского шоссе до ул. Новая в дер. Трубников Бор (в том числе за счет областного бюджета 714 523,43 руб.); ремонт </w:t>
      </w:r>
      <w:r>
        <w:t>автомобильной дороги местного значения по ул. Мира у дц.№1-3 в дер. Трубников Бор (в том числе за счет областного бюджета 723 375,67 руб.);</w:t>
      </w:r>
      <w:proofErr w:type="gramEnd"/>
      <w:r>
        <w:t xml:space="preserve"> </w:t>
      </w:r>
      <w:proofErr w:type="gramStart"/>
      <w:r>
        <w:t>работы по ремонту участка дороги на подъезде к контейнерной площадки в д. Бабино, в п. Керамик, подъезд к д. Большая</w:t>
      </w:r>
      <w:r>
        <w:t xml:space="preserve"> </w:t>
      </w:r>
      <w:proofErr w:type="spellStart"/>
      <w:r>
        <w:t>Кунесть</w:t>
      </w:r>
      <w:proofErr w:type="spellEnd"/>
      <w:r>
        <w:t>; работы по ремонту автомобильной дороги по ул. Вокзальная от уч.69А до уч.78 в д. Бабино; работы по частичному ремонту ул. Полевая от Московского шоссе до участка № 9 в дер. Бабино;</w:t>
      </w:r>
      <w:proofErr w:type="gramEnd"/>
      <w:r>
        <w:t xml:space="preserve"> </w:t>
      </w:r>
      <w:proofErr w:type="gramStart"/>
      <w:r>
        <w:t xml:space="preserve">работы по ямочному ремонту подъезда к д. Большая </w:t>
      </w:r>
      <w:proofErr w:type="spellStart"/>
      <w:r>
        <w:t>Кунесть</w:t>
      </w:r>
      <w:proofErr w:type="spellEnd"/>
      <w:r>
        <w:t>; работ п</w:t>
      </w:r>
      <w:r>
        <w:t xml:space="preserve">о подсыпке улиц песком: ул. Железнодорожная, ул. Парковая, ул. Новая, ул. Мира, ул. Озерная в д. Трубников Бор; работы по ремонту дороги подъезд к д. </w:t>
      </w:r>
      <w:proofErr w:type="spellStart"/>
      <w:r>
        <w:t>Дроздово</w:t>
      </w:r>
      <w:proofErr w:type="spellEnd"/>
      <w:r>
        <w:t xml:space="preserve"> от областного участка автомобильной дороги "Померанье-</w:t>
      </w:r>
      <w:proofErr w:type="spellStart"/>
      <w:r>
        <w:t>Кунесть</w:t>
      </w:r>
      <w:proofErr w:type="spellEnd"/>
      <w:r>
        <w:t>"; работы по ремонту съездов к домам</w:t>
      </w:r>
      <w:r>
        <w:t xml:space="preserve"> № 1-3 по ул. Мира в дер. Трубников Бор;</w:t>
      </w:r>
      <w:proofErr w:type="gramEnd"/>
      <w:r>
        <w:t xml:space="preserve"> Работы по содержанию автомобильных дорог (чистка дорог от снега, уборка мусора и вырубка кустов в придорожных канавах, уборка проезжей части от мусора и песка, покос обочин); услуги по разработке и проверке сметной </w:t>
      </w:r>
      <w:r>
        <w:t>документации;</w:t>
      </w:r>
    </w:p>
    <w:p w:rsidR="00F55BE4" w:rsidRDefault="009D19E0">
      <w:pPr>
        <w:pStyle w:val="21"/>
        <w:framePr w:w="9696" w:h="14980" w:hRule="exact" w:wrap="around" w:vAnchor="page" w:hAnchor="page" w:x="1113" w:y="886"/>
        <w:numPr>
          <w:ilvl w:val="0"/>
          <w:numId w:val="4"/>
        </w:numPr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 по 147-03: работы по ремонту участка дороги по ул. </w:t>
      </w:r>
      <w:proofErr w:type="gramStart"/>
      <w:r>
        <w:t>Садовая</w:t>
      </w:r>
      <w:proofErr w:type="gramEnd"/>
      <w:r>
        <w:t xml:space="preserve"> от д.№ 31 до д.№ 60 в д. Бабино (в том числе за счет областного бюджета 887 972,47 руб.); ремонт участка дороги по ул. </w:t>
      </w:r>
      <w:proofErr w:type="spellStart"/>
      <w:r>
        <w:t>Воронеостровская</w:t>
      </w:r>
      <w:proofErr w:type="spellEnd"/>
      <w:r>
        <w:t xml:space="preserve"> от участка региональной дороги Апраксин Бор-Тр</w:t>
      </w:r>
      <w:r>
        <w:t>убников Бор с обустройством автобусной остановки в д. Вороний Остров (в том числе за счет областного бюджета 554 453,04 руб.);</w:t>
      </w:r>
    </w:p>
    <w:p w:rsidR="00F55BE4" w:rsidRDefault="009D19E0">
      <w:pPr>
        <w:pStyle w:val="21"/>
        <w:framePr w:w="9696" w:h="14980" w:hRule="exact" w:wrap="around" w:vAnchor="page" w:hAnchor="page" w:x="1113" w:y="886"/>
        <w:numPr>
          <w:ilvl w:val="0"/>
          <w:numId w:val="4"/>
        </w:numPr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 по 3-03: работы по ремонту участка дороги ул. Мира от КНС№1 до д. 10 </w:t>
      </w:r>
      <w:proofErr w:type="spellStart"/>
      <w:r>
        <w:t>мкр</w:t>
      </w:r>
      <w:proofErr w:type="spellEnd"/>
      <w:r>
        <w:t>. "Мира" в д. Трубников Бор (в том числе за счет областн</w:t>
      </w:r>
      <w:r>
        <w:t>ого бюджета 516 408,66 руб.);</w:t>
      </w:r>
    </w:p>
    <w:p w:rsidR="00F55BE4" w:rsidRDefault="009D19E0">
      <w:pPr>
        <w:pStyle w:val="21"/>
        <w:framePr w:w="9696" w:h="14980" w:hRule="exact" w:wrap="around" w:vAnchor="page" w:hAnchor="page" w:x="1113" w:y="886"/>
        <w:numPr>
          <w:ilvl w:val="0"/>
          <w:numId w:val="4"/>
        </w:numPr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 за счет средств депутатов </w:t>
      </w:r>
      <w:proofErr w:type="spellStart"/>
      <w:r>
        <w:t>ЗАКс</w:t>
      </w:r>
      <w:proofErr w:type="spellEnd"/>
      <w:r>
        <w:t>: работы по ремонту дворовых территорий многоквартирных домов №№1,2,3 по ул. Мира в д. Трубников Бор (в том числе за счет областного бюджета 1 000 000,00 руб. - средства Перминова А.А.); работы п</w:t>
      </w:r>
      <w:r>
        <w:t xml:space="preserve">о ремонту дворовой территории у д. 1 по ул. </w:t>
      </w:r>
      <w:proofErr w:type="gramStart"/>
      <w:r>
        <w:t>Железнодорожная</w:t>
      </w:r>
      <w:proofErr w:type="gramEnd"/>
      <w:r>
        <w:t xml:space="preserve"> в д. Трубников Бор (в том числе за счет областного бюджета 199 999,99 руб. - средства Коваля Н.О.)</w:t>
      </w:r>
    </w:p>
    <w:p w:rsidR="00F55BE4" w:rsidRDefault="009D19E0">
      <w:pPr>
        <w:pStyle w:val="21"/>
        <w:framePr w:w="9696" w:h="14980" w:hRule="exact" w:wrap="around" w:vAnchor="page" w:hAnchor="page" w:x="1113" w:y="886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rStyle w:val="11"/>
        </w:rPr>
        <w:t>Другие вопросы в области национальной экономики</w:t>
      </w:r>
      <w:r>
        <w:t xml:space="preserve"> - план 601 986,00 рублей выполнен на 57 %. По дан</w:t>
      </w:r>
      <w:r>
        <w:t>ному разделу производилась оплата работ по подготовке межевого плана земельного участка, выполнение кадастровых работ, транспортировка умерших в морг, оплата межбюджетного трансферта в бюджет района на содержание смотрителя кладбищ.</w:t>
      </w:r>
    </w:p>
    <w:p w:rsidR="00F55BE4" w:rsidRDefault="009D19E0">
      <w:pPr>
        <w:pStyle w:val="21"/>
        <w:framePr w:w="9696" w:h="14980" w:hRule="exact" w:wrap="around" w:vAnchor="page" w:hAnchor="page" w:x="1113" w:y="886"/>
        <w:shd w:val="clear" w:color="auto" w:fill="auto"/>
        <w:spacing w:before="0" w:after="0" w:line="355" w:lineRule="exact"/>
        <w:ind w:left="20" w:right="20" w:firstLine="700"/>
        <w:jc w:val="both"/>
      </w:pPr>
      <w:r>
        <w:rPr>
          <w:rStyle w:val="11"/>
        </w:rPr>
        <w:t>Жилищное хозяйство</w:t>
      </w:r>
      <w:r>
        <w:t xml:space="preserve"> - пл</w:t>
      </w:r>
      <w:r>
        <w:t>ан 452 142,85 рублей выполнен на 91 %. Произведена оплата работ по ремонту общедомового имущества, оплата за содержание муниципальных квартир, а также в рамках данного раздела оплачены взносы в фонд капитального ремонта жилых домов.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lastRenderedPageBreak/>
        <w:t>К</w:t>
      </w:r>
      <w:r>
        <w:rPr>
          <w:rStyle w:val="11"/>
        </w:rPr>
        <w:t>оммунальное хозяйство</w:t>
      </w:r>
      <w:r>
        <w:t xml:space="preserve"> - план 586 680,87 рублей выполнен на 91 % в рамках данного раздела производится оплата технического обслуживания и текущего ремонта газораспределительных сетей, услуги по разработке схем теплоснабжения.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t>Благоустройство</w:t>
      </w:r>
      <w:r>
        <w:t xml:space="preserve"> - план 8 544 138,31 рублей выполнен на 96 %, в рамках данного раздела производится оплата электрической энергии, потребляемой уличным освещением, ремонт и содержание уличного освещения; также по данному разделу проходят расходы на подкос травы в поселении</w:t>
      </w:r>
      <w:r>
        <w:t xml:space="preserve"> в летний период, ликвидацию свалок в поселении, дезинсекция территории поселения; содержание братских захоронений.</w:t>
      </w:r>
    </w:p>
    <w:p w:rsidR="00F55BE4" w:rsidRDefault="009D19E0">
      <w:pPr>
        <w:pStyle w:val="21"/>
        <w:framePr w:w="9710" w:h="13555" w:hRule="exact" w:wrap="around" w:vAnchor="page" w:hAnchor="page" w:x="1106" w:y="953"/>
        <w:numPr>
          <w:ilvl w:val="0"/>
          <w:numId w:val="4"/>
        </w:numPr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 по 147-03: работы по замене фонарей уличного освещения с установкой дополнительных опор и линий электропередач от д. 17 до д. 28 по ул. </w:t>
      </w:r>
      <w:proofErr w:type="gramStart"/>
      <w:r>
        <w:t>Ста</w:t>
      </w:r>
      <w:r>
        <w:t>нционная</w:t>
      </w:r>
      <w:proofErr w:type="gramEnd"/>
      <w:r>
        <w:t xml:space="preserve"> в д. Померанье (в том числе за счет областного бюджета 486 729,66 руб.);</w:t>
      </w:r>
    </w:p>
    <w:p w:rsidR="00F55BE4" w:rsidRDefault="009D19E0">
      <w:pPr>
        <w:pStyle w:val="21"/>
        <w:framePr w:w="9710" w:h="13555" w:hRule="exact" w:wrap="around" w:vAnchor="page" w:hAnchor="page" w:x="1106" w:y="953"/>
        <w:numPr>
          <w:ilvl w:val="0"/>
          <w:numId w:val="4"/>
        </w:numPr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 по 3-03: работы по установке ограждения на гражданском кладбище </w:t>
      </w:r>
      <w:proofErr w:type="spellStart"/>
      <w:r>
        <w:t>мкр</w:t>
      </w:r>
      <w:proofErr w:type="spellEnd"/>
      <w:r>
        <w:t>. "Парковый" в д. Трубников Бор (в том числе за счет областного бюджета 551 971,34 руб.);</w:t>
      </w:r>
    </w:p>
    <w:p w:rsidR="00F55BE4" w:rsidRDefault="009D19E0">
      <w:pPr>
        <w:pStyle w:val="21"/>
        <w:framePr w:w="9710" w:h="13555" w:hRule="exact" w:wrap="around" w:vAnchor="page" w:hAnchor="page" w:x="1106" w:y="953"/>
        <w:numPr>
          <w:ilvl w:val="0"/>
          <w:numId w:val="4"/>
        </w:numPr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 за счет средств</w:t>
      </w:r>
      <w:r>
        <w:t xml:space="preserve"> депутатов </w:t>
      </w:r>
      <w:proofErr w:type="spellStart"/>
      <w:r>
        <w:t>ЗАКс</w:t>
      </w:r>
      <w:proofErr w:type="spellEnd"/>
      <w:r>
        <w:t>: приобретение и установка детского игрового оборудования по адресу: д. Трубников Бор, ул. Мира у д.1 (в том числе за счет областного бюджета 600 000,00 руб. - средства Илларионова Р.А.);</w:t>
      </w:r>
    </w:p>
    <w:p w:rsidR="00F55BE4" w:rsidRDefault="009D19E0">
      <w:pPr>
        <w:pStyle w:val="21"/>
        <w:framePr w:w="9710" w:h="13555" w:hRule="exact" w:wrap="around" w:vAnchor="page" w:hAnchor="page" w:x="1106" w:y="953"/>
        <w:numPr>
          <w:ilvl w:val="0"/>
          <w:numId w:val="4"/>
        </w:numPr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 за счет средств Комитета по агропромышленному компле</w:t>
      </w:r>
      <w:r>
        <w:t xml:space="preserve">ксу </w:t>
      </w:r>
      <w:r>
        <w:rPr>
          <w:lang w:val="en-US" w:eastAsia="en-US" w:bidi="en-US"/>
        </w:rPr>
        <w:t>J</w:t>
      </w:r>
      <w:r w:rsidRPr="009D19E0">
        <w:rPr>
          <w:lang w:eastAsia="en-US" w:bidi="en-US"/>
        </w:rPr>
        <w:t xml:space="preserve">10: </w:t>
      </w:r>
      <w:r>
        <w:t>работы по проведению химических мероприятий по уничтожению борщевика Сосновского на территории Трубникоборского СП (в том числе за счет областного бюджета 119 131,56 руб.);</w:t>
      </w:r>
    </w:p>
    <w:p w:rsidR="00F55BE4" w:rsidRDefault="009D19E0">
      <w:pPr>
        <w:pStyle w:val="21"/>
        <w:framePr w:w="9710" w:h="13555" w:hRule="exact" w:wrap="around" w:vAnchor="page" w:hAnchor="page" w:x="1106" w:y="953"/>
        <w:numPr>
          <w:ilvl w:val="0"/>
          <w:numId w:val="4"/>
        </w:numPr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 за счет средств Комитета Ленинградской области по обращению с отходами: в</w:t>
      </w:r>
      <w:r>
        <w:t>ыполнение мероприятий по созданию мест (площадок) накопления твердых коммунальных отходов (в том числе за счет средств областного бюджета 2 627 320,11 руб.)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t>-за счет субсидии МО Тосненский район Ленинградской области на сумму 1500000 рублей выполнены работ</w:t>
      </w:r>
      <w:r>
        <w:t>ы по ремонту и благоустройству на братском захоронении в дер. Чудской Бор.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t>Молодежная политика</w:t>
      </w:r>
      <w:r>
        <w:t xml:space="preserve"> - план 100 000,00 рублей выполнен на 100%. В рамках данного раздела проводится частичное финансирование временного трудоустройства молодежи в возрасте от 14 лет </w:t>
      </w:r>
      <w:r>
        <w:t>в период летних каникул.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t>Культура</w:t>
      </w:r>
      <w:r>
        <w:t xml:space="preserve"> - план 30 000,00 рублей выполнен на 0%. В рамках данного раздела должна была оплачиваться организация и проведение новогодних утренников, но в связи с эпидемиологической ситуацией они были отменены.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t xml:space="preserve">Физическая культура и </w:t>
      </w:r>
      <w:r>
        <w:rPr>
          <w:rStyle w:val="75pt0pt"/>
        </w:rPr>
        <w:t>с</w:t>
      </w:r>
      <w:r>
        <w:rPr>
          <w:rStyle w:val="75pt0pt"/>
        </w:rPr>
        <w:t>порт</w:t>
      </w:r>
      <w:r>
        <w:rPr>
          <w:rStyle w:val="75pt"/>
        </w:rPr>
        <w:t xml:space="preserve"> </w:t>
      </w:r>
      <w:r>
        <w:t xml:space="preserve">план 103 300,65 рублей - выполнен на 99 </w:t>
      </w:r>
      <w:r>
        <w:rPr>
          <w:rStyle w:val="115pt0pt"/>
        </w:rPr>
        <w:t>%.</w:t>
      </w:r>
      <w:r>
        <w:t xml:space="preserve"> В рамках данного раздела производится оплата расхода, связанных с обеспечением, поддержкой и развитием гиревого спорта на территории поселения, на физкультурно-оздоровительные и массовые мероприятия.</w:t>
      </w:r>
    </w:p>
    <w:p w:rsidR="00F55BE4" w:rsidRDefault="009D19E0">
      <w:pPr>
        <w:pStyle w:val="21"/>
        <w:framePr w:w="9710" w:h="13555" w:hRule="exact" w:wrap="around" w:vAnchor="page" w:hAnchor="page" w:x="1106" w:y="953"/>
        <w:shd w:val="clear" w:color="auto" w:fill="auto"/>
        <w:spacing w:before="0" w:after="0" w:line="355" w:lineRule="exact"/>
        <w:ind w:left="40" w:right="20" w:firstLine="700"/>
        <w:jc w:val="both"/>
      </w:pPr>
      <w:r>
        <w:rPr>
          <w:rStyle w:val="11"/>
        </w:rPr>
        <w:t>Социальн</w:t>
      </w:r>
      <w:r>
        <w:rPr>
          <w:rStyle w:val="11"/>
        </w:rPr>
        <w:t>ая политика</w:t>
      </w:r>
      <w:r>
        <w:t xml:space="preserve"> - план 304 863,24 рублей выполнен на 100%, в рамках данного раздела выплачивается пенсия за выслугу лет на муниципальной службе </w:t>
      </w:r>
      <w:proofErr w:type="gramStart"/>
      <w:r>
        <w:t>сотрудникам</w:t>
      </w:r>
      <w:proofErr w:type="gramEnd"/>
      <w:r>
        <w:t xml:space="preserve"> вышедшим на пенсию.</w:t>
      </w:r>
    </w:p>
    <w:p w:rsidR="00F55BE4" w:rsidRDefault="00F55BE4">
      <w:pPr>
        <w:rPr>
          <w:sz w:val="2"/>
          <w:szCs w:val="2"/>
        </w:rPr>
        <w:sectPr w:rsidR="00F55B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5BE4" w:rsidRDefault="009D19E0">
      <w:pPr>
        <w:pStyle w:val="30"/>
        <w:framePr w:wrap="around" w:vAnchor="page" w:hAnchor="page" w:x="1120" w:y="811"/>
        <w:shd w:val="clear" w:color="auto" w:fill="auto"/>
        <w:spacing w:line="220" w:lineRule="exact"/>
        <w:ind w:left="4000"/>
        <w:jc w:val="left"/>
      </w:pPr>
      <w:r>
        <w:lastRenderedPageBreak/>
        <w:t>БЮДЖЕТ на 2021 год</w:t>
      </w:r>
    </w:p>
    <w:p w:rsidR="00F55BE4" w:rsidRDefault="009D19E0">
      <w:pPr>
        <w:pStyle w:val="21"/>
        <w:framePr w:w="9682" w:h="7089" w:hRule="exact" w:wrap="around" w:vAnchor="page" w:hAnchor="page" w:x="1120" w:y="1419"/>
        <w:shd w:val="clear" w:color="auto" w:fill="auto"/>
        <w:spacing w:before="0" w:after="0" w:line="360" w:lineRule="exact"/>
        <w:ind w:left="20" w:right="20" w:firstLine="700"/>
        <w:jc w:val="both"/>
      </w:pPr>
      <w:r>
        <w:t xml:space="preserve">Бюджет 2021 года запланирован с дефицитом, </w:t>
      </w:r>
      <w:r>
        <w:t>источником покрытия дефицита является остаток средств на счете. План по доходам в общей сумме - 21 677 591,00 рублей, по расходам - 23 197 627,73 рублей, дефицит - 1 520 036,73 рублей.</w:t>
      </w:r>
    </w:p>
    <w:p w:rsidR="00F55BE4" w:rsidRDefault="009D19E0">
      <w:pPr>
        <w:pStyle w:val="21"/>
        <w:framePr w:w="9682" w:h="7089" w:hRule="exact" w:wrap="around" w:vAnchor="page" w:hAnchor="page" w:x="1120" w:y="1419"/>
        <w:shd w:val="clear" w:color="auto" w:fill="auto"/>
        <w:spacing w:before="0" w:after="696" w:line="360" w:lineRule="exact"/>
        <w:ind w:left="20" w:right="20" w:firstLine="700"/>
        <w:jc w:val="both"/>
      </w:pPr>
      <w:proofErr w:type="gramStart"/>
      <w:r>
        <w:t>В 2021 году выделены дотации бюджету поселения на выравнивание бюджетно</w:t>
      </w:r>
      <w:r>
        <w:t>й обеспеченности в общей сумме 1 032,6 тыс. руб. Администрация также по возможности будет принимать участие во всех возможных программах Ленинградской области, с целью получения субсидий на ремонты дорог, развитие части территорий, газификацию и т.д. для о</w:t>
      </w:r>
      <w:r>
        <w:t>беспечения улучшения качества жизни населения Трубникоборского сельского поселения.</w:t>
      </w:r>
      <w:proofErr w:type="gramEnd"/>
    </w:p>
    <w:p w:rsidR="00F55BE4" w:rsidRDefault="009D19E0">
      <w:pPr>
        <w:pStyle w:val="10"/>
        <w:framePr w:w="9682" w:h="7089" w:hRule="exact" w:wrap="around" w:vAnchor="page" w:hAnchor="page" w:x="1120" w:y="1419"/>
        <w:shd w:val="clear" w:color="auto" w:fill="auto"/>
        <w:spacing w:after="270" w:line="240" w:lineRule="exact"/>
        <w:ind w:left="40"/>
        <w:jc w:val="center"/>
      </w:pPr>
      <w:bookmarkStart w:id="3" w:name="bookmark2"/>
      <w:r>
        <w:t>Справочная информация по Совету депутатов</w:t>
      </w:r>
      <w:bookmarkEnd w:id="3"/>
    </w:p>
    <w:p w:rsidR="00F55BE4" w:rsidRDefault="009D19E0">
      <w:pPr>
        <w:pStyle w:val="21"/>
        <w:framePr w:w="9682" w:h="7089" w:hRule="exact" w:wrap="around" w:vAnchor="page" w:hAnchor="page" w:x="1120" w:y="1419"/>
        <w:shd w:val="clear" w:color="auto" w:fill="auto"/>
        <w:spacing w:before="0" w:after="0" w:line="269" w:lineRule="exact"/>
        <w:ind w:left="20" w:right="960" w:firstLine="180"/>
      </w:pPr>
      <w:r>
        <w:t>За 2020 год проведено 11 заседаний Совета депутатов Трубникоборского сельского поселения Тосненского района Ленинградской области.</w:t>
      </w:r>
    </w:p>
    <w:p w:rsidR="00F55BE4" w:rsidRDefault="009D19E0">
      <w:pPr>
        <w:pStyle w:val="21"/>
        <w:framePr w:w="9682" w:h="7089" w:hRule="exact" w:wrap="around" w:vAnchor="page" w:hAnchor="page" w:x="1120" w:y="1419"/>
        <w:shd w:val="clear" w:color="auto" w:fill="auto"/>
        <w:spacing w:before="0" w:after="0" w:line="269" w:lineRule="exact"/>
        <w:ind w:left="20" w:right="140" w:firstLine="0"/>
        <w:jc w:val="both"/>
      </w:pPr>
      <w:r>
        <w:t>Принято 36 Решений совета депутатов Трубникоборского сельского поселения Тосненского района Ленинградской области.</w:t>
      </w:r>
    </w:p>
    <w:p w:rsidR="00F55BE4" w:rsidRDefault="009D19E0">
      <w:pPr>
        <w:pStyle w:val="21"/>
        <w:framePr w:w="9682" w:h="7089" w:hRule="exact" w:wrap="around" w:vAnchor="page" w:hAnchor="page" w:x="1120" w:y="1419"/>
        <w:shd w:val="clear" w:color="auto" w:fill="auto"/>
        <w:spacing w:before="0" w:after="0" w:line="288" w:lineRule="exact"/>
        <w:ind w:left="20" w:firstLine="0"/>
        <w:jc w:val="both"/>
      </w:pPr>
      <w:proofErr w:type="gramStart"/>
      <w:r>
        <w:t>Основные из них:</w:t>
      </w:r>
      <w:proofErr w:type="gramEnd"/>
    </w:p>
    <w:p w:rsidR="00F55BE4" w:rsidRDefault="009D19E0">
      <w:pPr>
        <w:pStyle w:val="21"/>
        <w:framePr w:w="9682" w:h="7089" w:hRule="exact" w:wrap="around" w:vAnchor="page" w:hAnchor="page" w:x="1120" w:y="1419"/>
        <w:numPr>
          <w:ilvl w:val="0"/>
          <w:numId w:val="5"/>
        </w:numPr>
        <w:shd w:val="clear" w:color="auto" w:fill="auto"/>
        <w:spacing w:before="0" w:after="0" w:line="288" w:lineRule="exact"/>
        <w:ind w:left="720" w:right="140"/>
      </w:pPr>
      <w:r>
        <w:t xml:space="preserve"> Утверждено Положение о собраниях граждан в муниципальном образовании Трубникоборского сельского поселения Тосненского района Ленинградской области (№36 от 14.04.2020)</w:t>
      </w:r>
    </w:p>
    <w:p w:rsidR="00F55BE4" w:rsidRDefault="009D19E0">
      <w:pPr>
        <w:pStyle w:val="21"/>
        <w:framePr w:w="9682" w:h="7089" w:hRule="exact" w:wrap="around" w:vAnchor="page" w:hAnchor="page" w:x="1120" w:y="1419"/>
        <w:numPr>
          <w:ilvl w:val="0"/>
          <w:numId w:val="5"/>
        </w:numPr>
        <w:shd w:val="clear" w:color="auto" w:fill="auto"/>
        <w:spacing w:before="0" w:after="0" w:line="288" w:lineRule="exact"/>
        <w:ind w:left="720" w:right="140"/>
      </w:pPr>
      <w:r>
        <w:t xml:space="preserve"> Внесены изменения и дополнения в Устав Трубникоборского сельского поселения Тосненского</w:t>
      </w:r>
      <w:r>
        <w:t xml:space="preserve"> района Ленинградской области, (является Нормативно-Правовым Актом)</w:t>
      </w:r>
    </w:p>
    <w:p w:rsidR="00F55BE4" w:rsidRDefault="00F55BE4">
      <w:pPr>
        <w:rPr>
          <w:sz w:val="2"/>
          <w:szCs w:val="2"/>
        </w:rPr>
      </w:pPr>
    </w:p>
    <w:sectPr w:rsidR="00F55BE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9E0">
      <w:r>
        <w:separator/>
      </w:r>
    </w:p>
  </w:endnote>
  <w:endnote w:type="continuationSeparator" w:id="0">
    <w:p w:rsidR="00000000" w:rsidRDefault="009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E4" w:rsidRDefault="00F55BE4"/>
  </w:footnote>
  <w:footnote w:type="continuationSeparator" w:id="0">
    <w:p w:rsidR="00F55BE4" w:rsidRDefault="00F55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F8"/>
    <w:multiLevelType w:val="multilevel"/>
    <w:tmpl w:val="5C1AAE3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49EB"/>
    <w:multiLevelType w:val="multilevel"/>
    <w:tmpl w:val="DE6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07C0B"/>
    <w:multiLevelType w:val="multilevel"/>
    <w:tmpl w:val="E5243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3226E"/>
    <w:multiLevelType w:val="multilevel"/>
    <w:tmpl w:val="00946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E3C"/>
    <w:multiLevelType w:val="multilevel"/>
    <w:tmpl w:val="D890B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5BE4"/>
    <w:rsid w:val="009D19E0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480"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480"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 Н Карпенко</cp:lastModifiedBy>
  <cp:revision>2</cp:revision>
  <dcterms:created xsi:type="dcterms:W3CDTF">2021-03-24T14:29:00Z</dcterms:created>
  <dcterms:modified xsi:type="dcterms:W3CDTF">2021-03-24T14:29:00Z</dcterms:modified>
</cp:coreProperties>
</file>