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Fonts w:ascii="Times New Roman" w:cs="Times New Roman" w:eastAsia="Times New Roman" w:hAnsi="Times New Roman"/>
          <w:b/>
          <w:bCs/>
          <w:sz w:val="24"/>
          <w:szCs w:val="24"/>
          <w:lang w:eastAsia="ru-RU"/>
        </w:rPr>
        <w:t xml:space="preserve">АДМИНИСТРАЦИЯ МО  САБСКОЕ СЕЛЬСКОЕ ПОСЕЛЕНИЕ </w:t>
      </w:r>
    </w:p>
    <w:p>
      <w:pPr>
        <w:pStyle w:val="style0"/>
        <w:spacing w:after="0" w:before="0" w:line="100" w:lineRule="atLeast"/>
        <w:contextualSpacing w:val="false"/>
      </w:pPr>
      <w:r>
        <w:rPr>
          <w:rFonts w:ascii="Times New Roman" w:cs="Times New Roman" w:eastAsia="Times New Roman" w:hAnsi="Times New Roman"/>
          <w:b/>
          <w:bCs/>
          <w:sz w:val="24"/>
          <w:szCs w:val="24"/>
          <w:lang w:eastAsia="ru-RU"/>
        </w:rPr>
        <w:t xml:space="preserve">                               </w:t>
      </w:r>
      <w:r>
        <w:rPr>
          <w:rFonts w:ascii="Times New Roman" w:cs="Times New Roman" w:eastAsia="Times New Roman" w:hAnsi="Times New Roman"/>
          <w:b/>
          <w:bCs/>
          <w:sz w:val="24"/>
          <w:szCs w:val="24"/>
          <w:lang w:eastAsia="ru-RU"/>
        </w:rPr>
        <w:t xml:space="preserve">ВОЛОСОВСКОГО МУНИЦИПАЛЬНОГО РАЙОНА </w:t>
      </w:r>
    </w:p>
    <w:p>
      <w:pPr>
        <w:pStyle w:val="style0"/>
        <w:spacing w:after="0" w:before="0" w:line="100" w:lineRule="atLeast"/>
        <w:contextualSpacing w:val="false"/>
        <w:jc w:val="center"/>
      </w:pPr>
      <w:r>
        <w:rPr>
          <w:rFonts w:ascii="Times New Roman" w:cs="Times New Roman" w:eastAsia="Times New Roman" w:hAnsi="Times New Roman"/>
          <w:b/>
          <w:bCs/>
          <w:sz w:val="24"/>
          <w:szCs w:val="24"/>
          <w:lang w:eastAsia="ru-RU"/>
        </w:rPr>
        <w:t>ЛЕНИНГРАДСКОЙ  ОБЛАСТИ</w:t>
      </w:r>
    </w:p>
    <w:p>
      <w:pPr>
        <w:pStyle w:val="style0"/>
        <w:spacing w:after="0" w:before="0" w:line="100" w:lineRule="atLeast"/>
        <w:contextualSpacing w:val="false"/>
      </w:pPr>
      <w:r>
        <w:rPr>
          <w:rFonts w:ascii="Times New Roman" w:cs="Times New Roman" w:eastAsia="Times New Roman" w:hAnsi="Times New Roman"/>
          <w:sz w:val="24"/>
          <w:szCs w:val="24"/>
          <w:lang w:eastAsia="ru-RU"/>
        </w:rPr>
        <w:t xml:space="preserve">  </w:t>
      </w:r>
    </w:p>
    <w:p>
      <w:pPr>
        <w:pStyle w:val="style0"/>
        <w:spacing w:after="0" w:before="0" w:line="100" w:lineRule="atLeast"/>
        <w:contextualSpacing w:val="false"/>
        <w:jc w:val="center"/>
      </w:pPr>
      <w:r>
        <w:rPr>
          <w:rFonts w:ascii="Times New Roman" w:cs="Times New Roman" w:eastAsia="Times New Roman" w:hAnsi="Times New Roman"/>
          <w:b/>
          <w:bCs/>
          <w:sz w:val="24"/>
          <w:szCs w:val="24"/>
          <w:lang w:eastAsia="ru-RU"/>
        </w:rPr>
        <w:t>Отчетный доклад</w:t>
      </w:r>
    </w:p>
    <w:p>
      <w:pPr>
        <w:pStyle w:val="style0"/>
        <w:spacing w:after="0" w:before="0" w:line="100" w:lineRule="atLeast"/>
        <w:contextualSpacing w:val="false"/>
        <w:jc w:val="center"/>
      </w:pPr>
      <w:r>
        <w:rPr>
          <w:rFonts w:ascii="Times New Roman" w:cs="Times New Roman" w:eastAsia="Times New Roman" w:hAnsi="Times New Roman"/>
          <w:b/>
          <w:bCs/>
          <w:sz w:val="24"/>
          <w:szCs w:val="24"/>
          <w:lang w:eastAsia="ru-RU"/>
        </w:rPr>
        <w:t>ГЛАВЫ МО и АДМИНИСТРАЦИИ</w:t>
      </w:r>
    </w:p>
    <w:p>
      <w:pPr>
        <w:pStyle w:val="style0"/>
        <w:spacing w:after="0" w:before="0" w:line="100" w:lineRule="atLeast"/>
        <w:contextualSpacing w:val="false"/>
        <w:jc w:val="center"/>
      </w:pPr>
      <w:r>
        <w:rPr>
          <w:rFonts w:ascii="Times New Roman" w:cs="Times New Roman" w:eastAsia="Times New Roman" w:hAnsi="Times New Roman"/>
          <w:b/>
          <w:bCs/>
          <w:sz w:val="24"/>
          <w:szCs w:val="24"/>
          <w:lang w:eastAsia="ru-RU"/>
        </w:rPr>
        <w:t xml:space="preserve"> </w:t>
      </w:r>
      <w:r>
        <w:rPr>
          <w:rFonts w:ascii="Times New Roman" w:cs="Times New Roman" w:eastAsia="Times New Roman" w:hAnsi="Times New Roman"/>
          <w:b/>
          <w:bCs/>
          <w:sz w:val="24"/>
          <w:szCs w:val="24"/>
          <w:lang w:eastAsia="ru-RU"/>
        </w:rPr>
        <w:t xml:space="preserve">САБСКОГО СЕЛЬСКОГО ПОСЕЛЕНИЯ </w:t>
      </w:r>
    </w:p>
    <w:p>
      <w:pPr>
        <w:pStyle w:val="style0"/>
        <w:spacing w:after="0" w:before="0" w:line="100" w:lineRule="atLeast"/>
        <w:contextualSpacing w:val="false"/>
        <w:jc w:val="center"/>
      </w:pPr>
      <w:r>
        <w:rPr>
          <w:rFonts w:ascii="Times New Roman" w:cs="Times New Roman" w:eastAsia="Times New Roman" w:hAnsi="Times New Roman"/>
          <w:b/>
          <w:bCs/>
          <w:sz w:val="24"/>
          <w:szCs w:val="24"/>
          <w:lang w:eastAsia="ru-RU"/>
        </w:rPr>
        <w:t>ВОЛОСОВСКОГО МУНИЦИПАЛЬНОГО РАЙОНА</w:t>
      </w:r>
    </w:p>
    <w:p>
      <w:pPr>
        <w:pStyle w:val="style0"/>
        <w:spacing w:after="0" w:before="0" w:line="100" w:lineRule="atLeast"/>
        <w:contextualSpacing w:val="false"/>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b/>
          <w:bCs/>
          <w:sz w:val="24"/>
          <w:szCs w:val="24"/>
          <w:lang w:eastAsia="ru-RU"/>
        </w:rPr>
        <w:t>ЛЕНИНГРАДСКОЙ ОБЛАСТИ</w:t>
      </w:r>
    </w:p>
    <w:p>
      <w:pPr>
        <w:pStyle w:val="style0"/>
        <w:spacing w:after="0" w:before="0" w:line="100" w:lineRule="atLeast"/>
        <w:contextualSpacing w:val="false"/>
        <w:jc w:val="center"/>
      </w:pPr>
      <w:r>
        <w:rPr>
          <w:rFonts w:ascii="Times New Roman" w:cs="Times New Roman" w:eastAsia="Times New Roman" w:hAnsi="Times New Roman"/>
          <w:b/>
          <w:bCs/>
          <w:sz w:val="24"/>
          <w:szCs w:val="24"/>
          <w:lang w:eastAsia="ru-RU"/>
        </w:rPr>
        <w:t>О ПРОДЕЛАННОЙ РАБОТЕ ЗА 2020 ГОД</w:t>
      </w:r>
    </w:p>
    <w:p>
      <w:pPr>
        <w:pStyle w:val="style0"/>
        <w:spacing w:after="0" w:before="0" w:line="100" w:lineRule="atLeast"/>
        <w:contextualSpacing w:val="false"/>
        <w:jc w:val="center"/>
      </w:pPr>
      <w:r>
        <w:rPr>
          <w:rFonts w:ascii="Times New Roman" w:cs="Times New Roman" w:eastAsia="Times New Roman" w:hAnsi="Times New Roman"/>
          <w:b/>
          <w:bCs/>
          <w:sz w:val="24"/>
          <w:szCs w:val="24"/>
          <w:lang w:eastAsia="ru-RU"/>
        </w:rPr>
        <w:t>И ЗАДАЧАХ НА 2021 ГОД</w:t>
      </w:r>
    </w:p>
    <w:p>
      <w:pPr>
        <w:pStyle w:val="style0"/>
        <w:spacing w:after="0" w:before="0" w:line="100" w:lineRule="atLeast"/>
        <w:contextualSpacing w:val="false"/>
        <w:jc w:val="center"/>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32"/>
          <w:szCs w:val="32"/>
          <w:lang w:eastAsia="ru-RU"/>
        </w:rPr>
        <w:t>Добрый день, уважаемые жители, коллеги и гости!</w:t>
      </w:r>
    </w:p>
    <w:p>
      <w:pPr>
        <w:pStyle w:val="style0"/>
        <w:spacing w:after="28" w:before="28" w:line="100" w:lineRule="atLeast"/>
        <w:contextualSpacing w:val="false"/>
      </w:pPr>
      <w:r>
        <w:rPr>
          <w:rFonts w:ascii="Times New Roman" w:cs="Times New Roman" w:eastAsia="Times New Roman" w:hAnsi="Times New Roman"/>
          <w:sz w:val="28"/>
          <w:szCs w:val="28"/>
          <w:lang w:eastAsia="ru-RU"/>
        </w:rPr>
        <w:t>В соответствии c действующим Федеральным законодательством Главы администраций сельских поселений ежегодно отчитываются перед населением о проделанной работе. Главными задачами в работе Администрации поселения остается исполнение полномочий в соответствии с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                                                                                                                       В рамках нормотворческой деятельности за отчетный период принято 110</w:t>
      </w:r>
      <w:r>
        <w:rPr>
          <w:rFonts w:ascii="Times New Roman" w:cs="Times New Roman" w:eastAsia="Times New Roman" w:hAnsi="Times New Roman"/>
          <w:color w:val="FF0000"/>
          <w:sz w:val="28"/>
          <w:szCs w:val="28"/>
          <w:lang w:eastAsia="ru-RU"/>
        </w:rPr>
        <w:t xml:space="preserve"> </w:t>
      </w:r>
      <w:r>
        <w:rPr>
          <w:rFonts w:ascii="Times New Roman" w:cs="Times New Roman" w:eastAsia="Times New Roman" w:hAnsi="Times New Roman"/>
          <w:sz w:val="28"/>
          <w:szCs w:val="28"/>
          <w:lang w:eastAsia="ru-RU"/>
        </w:rPr>
        <w:t>постановлений, 76 распоряжений,  проведено 10 заседаний Совета депутатов, на которых  приняты 33</w:t>
      </w:r>
      <w:r>
        <w:rPr>
          <w:rFonts w:ascii="Times New Roman" w:cs="Times New Roman" w:eastAsia="Times New Roman" w:hAnsi="Times New Roman"/>
          <w:b/>
          <w:color w:val="FF0000"/>
          <w:sz w:val="28"/>
          <w:szCs w:val="28"/>
          <w:lang w:eastAsia="ru-RU"/>
        </w:rPr>
        <w:t xml:space="preserve"> </w:t>
      </w:r>
      <w:r>
        <w:rPr>
          <w:rFonts w:ascii="Times New Roman" w:cs="Times New Roman" w:eastAsia="Times New Roman" w:hAnsi="Times New Roman"/>
          <w:sz w:val="28"/>
          <w:szCs w:val="28"/>
          <w:lang w:eastAsia="ru-RU"/>
        </w:rPr>
        <w:t>Решения по ряду важных вопросов .</w:t>
      </w:r>
    </w:p>
    <w:p>
      <w:pPr>
        <w:pStyle w:val="style0"/>
        <w:spacing w:after="0" w:before="0" w:line="100" w:lineRule="atLeast"/>
        <w:contextualSpacing w:val="false"/>
      </w:pPr>
      <w:r>
        <w:rPr>
          <w:rFonts w:ascii="Times New Roman" w:cs="Times New Roman" w:eastAsia="Times New Roman" w:hAnsi="Times New Roman"/>
          <w:sz w:val="28"/>
          <w:szCs w:val="28"/>
          <w:lang w:eastAsia="ru-RU"/>
        </w:rPr>
        <w:t>Зарегистрировано  входящих документов-324,исходящих-1152, из</w:t>
      </w:r>
    </w:p>
    <w:p>
      <w:pPr>
        <w:pStyle w:val="style0"/>
        <w:spacing w:after="0" w:before="0" w:line="100" w:lineRule="atLeast"/>
        <w:contextualSpacing w:val="false"/>
      </w:pPr>
      <w:r>
        <w:rPr>
          <w:rFonts w:ascii="Times New Roman" w:cs="Times New Roman" w:eastAsia="Times New Roman" w:hAnsi="Times New Roman"/>
          <w:sz w:val="28"/>
          <w:szCs w:val="28"/>
          <w:lang w:eastAsia="ru-RU"/>
        </w:rPr>
        <w:t>них справок- 399,  ходатайств- 21 , выполнено нотариальных действий- 50, рассмотрено обращений граждан- 20.</w:t>
      </w:r>
      <w:r>
        <w:rPr>
          <w:rFonts w:ascii="Times New Roman" w:cs="Times New Roman" w:eastAsia="Times New Roman" w:hAnsi="Times New Roman"/>
          <w:sz w:val="32"/>
          <w:szCs w:val="32"/>
          <w:lang w:eastAsia="ru-RU"/>
        </w:rPr>
        <w:t xml:space="preserve">                                                                    </w:t>
      </w:r>
      <w:r>
        <w:rPr>
          <w:rFonts w:ascii="Times New Roman" w:cs="Times New Roman" w:eastAsia="Times New Roman" w:hAnsi="Times New Roman"/>
          <w:sz w:val="28"/>
          <w:szCs w:val="28"/>
          <w:lang w:eastAsia="ru-RU"/>
        </w:rPr>
        <w:t>Проекты решений и  постановлений Администрации направляются в прокуратуру района и находятся под постоянным контролем .За 12 месяцев в адрес  администрации поступило 20 представлений , 18 протестов, 75 запросов.</w:t>
      </w:r>
    </w:p>
    <w:p>
      <w:pPr>
        <w:pStyle w:val="style0"/>
        <w:jc w:val="both"/>
      </w:pPr>
      <w:r>
        <w:rPr>
          <w:rFonts w:ascii="Times New Roman" w:cs="Times New Roman" w:hAnsi="Times New Roman"/>
          <w:sz w:val="28"/>
          <w:szCs w:val="28"/>
        </w:rPr>
        <w:t>На сайте администрации размещены все нормативные правовые акты, фотоматериалы и другая информация о деятельности администрации поселения, информация прокуратуры, Росреестра и других организаций</w:t>
        <w:br/>
        <w:t>На территории Сабского сельского поселения изменений по числу учреждений и организаций не произошло, действуют: 1 общеобразовательная школа  в которой обучается 80 школьника , детский сад в котором на воспитании находятся 37</w:t>
      </w:r>
      <w:r>
        <w:rPr>
          <w:rFonts w:ascii="Times New Roman" w:cs="Times New Roman" w:hAnsi="Times New Roman"/>
          <w:color w:val="FF0000"/>
          <w:sz w:val="28"/>
          <w:szCs w:val="28"/>
        </w:rPr>
        <w:t xml:space="preserve"> </w:t>
      </w:r>
      <w:r>
        <w:rPr>
          <w:rFonts w:ascii="Times New Roman" w:cs="Times New Roman" w:hAnsi="Times New Roman"/>
          <w:sz w:val="28"/>
          <w:szCs w:val="28"/>
        </w:rPr>
        <w:t>детей, амбулатория,  почтовое отделение, библиотека, дом культуры ,отделение Сбербанка , два магазина.  </w:t>
        <w:br/>
        <w:t>Территория Сабского сельского поселения включает в себя двадцать населенных пунктов, численность зарегистрированного населения на начало года – 1680 человек, за 2020 год родилось 5детей, умерло – 30 человек.</w:t>
        <w:br/>
        <w:t xml:space="preserve">Демографическая ситуация в поселении характеризуется продолжающимся процессом естественной убыли населения, связанной с высоким уровнем смертности и низкой рождаемостью, число умерших в 2020 году превысило число родившихся  в 6 раз. </w:t>
      </w:r>
    </w:p>
    <w:p>
      <w:pPr>
        <w:pStyle w:val="style0"/>
        <w:spacing w:after="28" w:before="28" w:line="100" w:lineRule="atLeast"/>
        <w:contextualSpacing w:val="false"/>
        <w:jc w:val="center"/>
      </w:pPr>
      <w:r>
        <w:rPr>
          <w:rFonts w:ascii="Times New Roman" w:cs="Times New Roman" w:eastAsia="Times New Roman" w:hAnsi="Times New Roman"/>
          <w:b/>
          <w:bCs/>
          <w:sz w:val="32"/>
          <w:szCs w:val="32"/>
          <w:lang w:eastAsia="ru-RU"/>
        </w:rPr>
        <w:t>Бюджет</w:t>
      </w:r>
    </w:p>
    <w:p>
      <w:pPr>
        <w:pStyle w:val="style0"/>
        <w:spacing w:after="28" w:before="28" w:line="100" w:lineRule="atLeast"/>
        <w:contextualSpacing w:val="false"/>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 xml:space="preserve">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 </w:t>
      </w:r>
    </w:p>
    <w:p>
      <w:pPr>
        <w:pStyle w:val="style0"/>
      </w:pPr>
      <w:r>
        <w:rPr>
          <w:rFonts w:ascii="Times New Roman" w:cs="Times New Roman" w:hAnsi="Times New Roman"/>
          <w:sz w:val="28"/>
          <w:szCs w:val="28"/>
        </w:rPr>
        <w:t xml:space="preserve">Бюджет поселения по собственным  доходам составил - 4 370 900 руб., в Т.Ч.                                                                                                                            -земельный налог                                                 - 1 774 550,75рублей; </w:t>
      </w:r>
    </w:p>
    <w:p>
      <w:pPr>
        <w:pStyle w:val="style0"/>
      </w:pPr>
      <w:r>
        <w:rPr>
          <w:rFonts w:ascii="Times New Roman" w:cs="Times New Roman" w:hAnsi="Times New Roman"/>
          <w:sz w:val="28"/>
          <w:szCs w:val="28"/>
        </w:rPr>
        <w:t xml:space="preserve">-налог на имущество физ. лиц                              - 333 714,76 рублей;     </w:t>
      </w:r>
    </w:p>
    <w:p>
      <w:pPr>
        <w:pStyle w:val="style0"/>
      </w:pPr>
      <w:r>
        <w:rPr>
          <w:rFonts w:ascii="Times New Roman" w:cs="Times New Roman" w:hAnsi="Times New Roman"/>
          <w:sz w:val="28"/>
          <w:szCs w:val="28"/>
        </w:rPr>
        <w:t xml:space="preserve">-акцизы на подакцизный товар                            - 1 141 684,23рублей;  </w:t>
      </w:r>
    </w:p>
    <w:p>
      <w:pPr>
        <w:pStyle w:val="style0"/>
      </w:pPr>
      <w:r>
        <w:rPr>
          <w:rFonts w:ascii="Times New Roman" w:cs="Times New Roman" w:hAnsi="Times New Roman"/>
          <w:sz w:val="28"/>
          <w:szCs w:val="28"/>
        </w:rPr>
        <w:t>-НДФЛ                                                                      -454 194,70 рублей;                                                -доходы от имущества находящегося                   -427 917,64       рубей;                     в муниципальной собственности</w:t>
      </w:r>
    </w:p>
    <w:p>
      <w:pPr>
        <w:pStyle w:val="style0"/>
      </w:pPr>
      <w:r>
        <w:rPr>
          <w:rFonts w:ascii="Times New Roman" w:cs="Times New Roman" w:hAnsi="Times New Roman"/>
          <w:sz w:val="28"/>
          <w:szCs w:val="28"/>
        </w:rPr>
        <w:t xml:space="preserve">-доходы от оказания платных услуг                   </w:t>
      </w:r>
      <w:r>
        <w:rPr>
          <w:rFonts w:ascii="Times New Roman" w:cs="Times New Roman" w:hAnsi="Times New Roman"/>
          <w:color w:val="FF0000"/>
          <w:sz w:val="28"/>
          <w:szCs w:val="28"/>
        </w:rPr>
        <w:t xml:space="preserve"> </w:t>
      </w:r>
      <w:r>
        <w:rPr>
          <w:rFonts w:ascii="Times New Roman" w:cs="Times New Roman" w:hAnsi="Times New Roman"/>
          <w:sz w:val="28"/>
          <w:szCs w:val="28"/>
        </w:rPr>
        <w:t>-135 913,48 рублей;                     и компенсации затрат государства</w:t>
      </w:r>
    </w:p>
    <w:p>
      <w:pPr>
        <w:pStyle w:val="style0"/>
      </w:pPr>
      <w:r>
        <w:rPr>
          <w:rFonts w:ascii="Times New Roman" w:cs="Times New Roman" w:hAnsi="Times New Roman"/>
          <w:sz w:val="28"/>
          <w:szCs w:val="28"/>
        </w:rPr>
        <w:t>Безвоздмездные поступления из бюджетов других уровней составили 21 202 149,51 руб.,в том числе:</w:t>
      </w:r>
    </w:p>
    <w:p>
      <w:pPr>
        <w:pStyle w:val="style0"/>
      </w:pPr>
      <w:r>
        <w:rPr>
          <w:rFonts w:ascii="Times New Roman" w:cs="Times New Roman" w:hAnsi="Times New Roman"/>
          <w:sz w:val="28"/>
          <w:szCs w:val="28"/>
          <w:u w:val="single"/>
        </w:rPr>
        <w:t>Дотации бюджетам бюджетной системы РФ</w:t>
      </w:r>
      <w:r>
        <w:rPr>
          <w:rFonts w:ascii="Times New Roman" w:cs="Times New Roman" w:hAnsi="Times New Roman"/>
          <w:sz w:val="28"/>
          <w:szCs w:val="28"/>
        </w:rPr>
        <w:t xml:space="preserve">              9 348 700,0руб.                                (средств областного и районного бюджетов )</w:t>
      </w:r>
    </w:p>
    <w:p>
      <w:pPr>
        <w:pStyle w:val="style0"/>
      </w:pPr>
      <w:r>
        <w:rPr>
          <w:rFonts w:ascii="Times New Roman" w:cs="Times New Roman" w:hAnsi="Times New Roman"/>
          <w:sz w:val="28"/>
          <w:szCs w:val="28"/>
        </w:rPr>
        <w:t xml:space="preserve"> </w:t>
      </w:r>
      <w:r>
        <w:rPr>
          <w:rFonts w:ascii="Times New Roman" w:cs="Times New Roman" w:hAnsi="Times New Roman"/>
          <w:sz w:val="28"/>
          <w:szCs w:val="28"/>
        </w:rPr>
        <w:t>Субсидии- целевые средства из                                                              областного и районного бюджетов предназначенные                                      для решения конкретных задач в сумме                      6 986 614,15руб.</w:t>
      </w:r>
    </w:p>
    <w:p>
      <w:pPr>
        <w:pStyle w:val="style0"/>
      </w:pPr>
      <w:r>
        <w:rPr>
          <w:rFonts w:ascii="Times New Roman" w:cs="Times New Roman" w:hAnsi="Times New Roman"/>
          <w:sz w:val="28"/>
          <w:szCs w:val="28"/>
          <w:u w:val="single"/>
        </w:rPr>
        <w:t xml:space="preserve">Субвенции     </w:t>
      </w:r>
      <w:r>
        <w:rPr>
          <w:rFonts w:ascii="Times New Roman" w:cs="Times New Roman" w:hAnsi="Times New Roman"/>
          <w:sz w:val="28"/>
          <w:szCs w:val="28"/>
        </w:rPr>
        <w:t xml:space="preserve">                                                                  161 220,0руб.         </w:t>
      </w:r>
    </w:p>
    <w:p>
      <w:pPr>
        <w:pStyle w:val="style0"/>
      </w:pPr>
      <w:r>
        <w:rPr>
          <w:rFonts w:ascii="Times New Roman" w:cs="Times New Roman" w:hAnsi="Times New Roman"/>
          <w:sz w:val="28"/>
          <w:szCs w:val="28"/>
        </w:rPr>
        <w:t>в сфере административных правонарушений                          3 520,0руб.          осущ. первичного воинского учета                                       157 700,0руб.</w:t>
      </w:r>
    </w:p>
    <w:p>
      <w:pPr>
        <w:pStyle w:val="style0"/>
      </w:pPr>
      <w:r>
        <w:rPr>
          <w:rFonts w:ascii="Times New Roman" w:cs="Times New Roman" w:hAnsi="Times New Roman"/>
          <w:sz w:val="28"/>
          <w:szCs w:val="28"/>
          <w:u w:val="single"/>
        </w:rPr>
        <w:t>Иные межбюджетные трансферты</w:t>
      </w:r>
      <w:r>
        <w:rPr>
          <w:rFonts w:ascii="Times New Roman" w:cs="Times New Roman" w:hAnsi="Times New Roman"/>
          <w:sz w:val="28"/>
          <w:szCs w:val="28"/>
        </w:rPr>
        <w:t xml:space="preserve"> в сумме                   4 711 079,14руб</w:t>
      </w:r>
    </w:p>
    <w:p>
      <w:pPr>
        <w:pStyle w:val="style0"/>
        <w:spacing w:after="28" w:before="28" w:line="100" w:lineRule="atLeast"/>
        <w:contextualSpacing w:val="false"/>
      </w:pPr>
      <w:r>
        <w:rPr>
          <w:rFonts w:ascii="Times New Roman" w:cs="Times New Roman" w:eastAsia="Times New Roman" w:hAnsi="Times New Roman"/>
          <w:sz w:val="28"/>
          <w:szCs w:val="28"/>
          <w:lang w:eastAsia="ru-RU"/>
        </w:rPr>
        <w:t xml:space="preserve">Доходная часть бюджета позволила в отчетном периоде профинансировать расходы бюджета в сумме 55 585 988,38рублей или 83,46 % к уточненному годовому плану  66 604 186,29 рублей ( 40 161 834 рубля субсидии неиспользованные в 2019 году были предоставлены, как остатки средств областного бюджета)           в т.ч.                                     </w:t>
      </w:r>
    </w:p>
    <w:p>
      <w:pPr>
        <w:pStyle w:val="style0"/>
      </w:pPr>
      <w:r>
        <w:rPr>
          <w:rFonts w:ascii="Times New Roman" w:cs="Times New Roman" w:hAnsi="Times New Roman"/>
          <w:b/>
          <w:sz w:val="28"/>
          <w:szCs w:val="28"/>
          <w:u w:val="single"/>
        </w:rPr>
        <w:t>-общегосударственные вопросы</w:t>
      </w:r>
      <w:r>
        <w:rPr>
          <w:rFonts w:ascii="Times New Roman" w:cs="Times New Roman" w:hAnsi="Times New Roman"/>
          <w:sz w:val="28"/>
          <w:szCs w:val="28"/>
        </w:rPr>
        <w:t xml:space="preserve">                               -7 271 531,20 рублей ;</w:t>
      </w:r>
    </w:p>
    <w:p>
      <w:pPr>
        <w:pStyle w:val="style0"/>
      </w:pPr>
      <w:r>
        <w:rPr>
          <w:rFonts w:ascii="Times New Roman" w:cs="Times New Roman" w:hAnsi="Times New Roman"/>
          <w:sz w:val="28"/>
          <w:szCs w:val="28"/>
        </w:rPr>
        <w:t xml:space="preserve">(в т.ч.межбюджетные трансферты по исполнению части полномочий поселения, передаваемые администрации района: на обеспечение бюджетного процесса , по внутреннему финансовому контролю, в сфере градостроительной деятельности и по содержанию архива-758 308 руб.) </w:t>
      </w:r>
    </w:p>
    <w:p>
      <w:pPr>
        <w:pStyle w:val="style0"/>
      </w:pPr>
      <w:r>
        <w:rPr>
          <w:rFonts w:ascii="Times New Roman" w:cs="Times New Roman" w:hAnsi="Times New Roman"/>
          <w:b/>
          <w:sz w:val="28"/>
          <w:szCs w:val="28"/>
          <w:u w:val="single"/>
        </w:rPr>
        <w:t>национальная оборона</w:t>
      </w:r>
      <w:r>
        <w:rPr>
          <w:rFonts w:ascii="Times New Roman" w:cs="Times New Roman" w:hAnsi="Times New Roman"/>
          <w:b/>
          <w:sz w:val="28"/>
          <w:szCs w:val="28"/>
        </w:rPr>
        <w:t xml:space="preserve"> </w:t>
      </w:r>
      <w:r>
        <w:rPr>
          <w:rFonts w:ascii="Times New Roman" w:cs="Times New Roman" w:hAnsi="Times New Roman"/>
          <w:sz w:val="28"/>
          <w:szCs w:val="28"/>
        </w:rPr>
        <w:t>(первичный воинский учет)   -157 700,0рублей;</w:t>
      </w:r>
    </w:p>
    <w:p>
      <w:pPr>
        <w:pStyle w:val="style0"/>
      </w:pPr>
      <w:r>
        <w:rPr>
          <w:rFonts w:ascii="Times New Roman" w:cs="Times New Roman" w:hAnsi="Times New Roman"/>
          <w:sz w:val="28"/>
          <w:szCs w:val="28"/>
        </w:rPr>
        <w:t>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 О воинской обязанности и военной службе»</w:t>
      </w:r>
    </w:p>
    <w:p>
      <w:pPr>
        <w:pStyle w:val="style0"/>
      </w:pPr>
      <w:r>
        <w:rPr>
          <w:rFonts w:ascii="Times New Roman" w:cs="Times New Roman" w:hAnsi="Times New Roman"/>
          <w:b/>
          <w:sz w:val="28"/>
          <w:szCs w:val="28"/>
          <w:u w:val="single"/>
        </w:rPr>
        <w:t xml:space="preserve">-защита населения и территории от ЧС природного и   </w:t>
      </w:r>
      <w:r>
        <w:rPr>
          <w:rFonts w:ascii="Times New Roman" w:cs="Times New Roman" w:hAnsi="Times New Roman"/>
          <w:sz w:val="28"/>
          <w:szCs w:val="28"/>
          <w:u w:val="single"/>
        </w:rPr>
        <w:t>-</w:t>
      </w:r>
      <w:r>
        <w:rPr>
          <w:rFonts w:ascii="Times New Roman" w:cs="Times New Roman" w:hAnsi="Times New Roman"/>
          <w:i/>
          <w:color w:val="000000"/>
          <w:sz w:val="28"/>
          <w:szCs w:val="28"/>
          <w:u w:val="single"/>
        </w:rPr>
        <w:t>43 100,00рублей;</w:t>
      </w:r>
      <w:r>
        <w:rPr>
          <w:rFonts w:ascii="Times New Roman" w:cs="Times New Roman" w:hAnsi="Times New Roman"/>
          <w:b/>
          <w:sz w:val="28"/>
          <w:szCs w:val="28"/>
          <w:u w:val="single"/>
        </w:rPr>
        <w:t xml:space="preserve">         техногенного характера, ГО </w:t>
      </w:r>
    </w:p>
    <w:p>
      <w:pPr>
        <w:pStyle w:val="style0"/>
      </w:pPr>
      <w:r>
        <w:rPr>
          <w:rFonts w:ascii="Times New Roman" w:cs="Times New Roman" w:hAnsi="Times New Roman"/>
          <w:sz w:val="28"/>
          <w:szCs w:val="28"/>
        </w:rPr>
        <w:t xml:space="preserve">-Испытание наружных источников водоснабжения            -10 500 руб.  </w:t>
      </w:r>
    </w:p>
    <w:p>
      <w:pPr>
        <w:pStyle w:val="style0"/>
      </w:pPr>
      <w:r>
        <w:rPr>
          <w:rFonts w:ascii="Times New Roman" w:cs="Times New Roman" w:hAnsi="Times New Roman"/>
          <w:sz w:val="28"/>
          <w:szCs w:val="28"/>
        </w:rPr>
        <w:t xml:space="preserve">-приобретение пож. рукавов, огнетушителей,         </w:t>
      </w:r>
    </w:p>
    <w:p>
      <w:pPr>
        <w:pStyle w:val="style0"/>
      </w:pPr>
      <w:r>
        <w:rPr>
          <w:rFonts w:ascii="Times New Roman" w:cs="Times New Roman" w:hAnsi="Times New Roman"/>
          <w:sz w:val="28"/>
          <w:szCs w:val="28"/>
        </w:rPr>
        <w:t xml:space="preserve"> </w:t>
      </w:r>
      <w:r>
        <w:rPr>
          <w:rFonts w:ascii="Times New Roman" w:cs="Times New Roman" w:hAnsi="Times New Roman"/>
          <w:sz w:val="28"/>
          <w:szCs w:val="28"/>
        </w:rPr>
        <w:t>знаков « пож. гидрант»                                                          -32 600руб.</w:t>
      </w:r>
    </w:p>
    <w:p>
      <w:pPr>
        <w:pStyle w:val="style0"/>
        <w:spacing w:after="240" w:before="240"/>
        <w:contextualSpacing w:val="false"/>
      </w:pPr>
      <w:r>
        <w:rPr>
          <w:rFonts w:ascii="Times New Roman" w:cs="Times New Roman" w:hAnsi="Times New Roman"/>
          <w:color w:val="EEECE1"/>
          <w:sz w:val="28"/>
          <w:szCs w:val="28"/>
          <w:u w:val="single"/>
        </w:rPr>
        <w:t>-</w:t>
      </w:r>
      <w:r>
        <w:rPr>
          <w:rFonts w:ascii="Times New Roman" w:cs="Times New Roman" w:hAnsi="Times New Roman"/>
          <w:b/>
          <w:sz w:val="28"/>
          <w:szCs w:val="28"/>
          <w:u w:val="single"/>
        </w:rPr>
        <w:t>национальная экономика</w:t>
      </w:r>
      <w:r>
        <w:rPr>
          <w:rFonts w:ascii="Times New Roman" w:cs="Times New Roman" w:hAnsi="Times New Roman"/>
          <w:sz w:val="28"/>
          <w:szCs w:val="28"/>
        </w:rPr>
        <w:t xml:space="preserve">                                                                                  расходы за отчетный период составили- 36 851 045,50 рублей или 77,53%  к годовому плану  47 530 105,16 руб. в т.ч. дорожное хозяйство исполнено                     -36 168 045,50 рублей или 77,2% к сумме средств дорожного фонда   46 847 105,16 рублей. Неисполнение связано с увеличением сроков по реконструкции мостового перехода через р.Саба в д.Малый Сабск в связи с внесением изменений в прект и повторным прохождением государственной экспертизы .Решением рабочей комиссии 01.02.2020 года проведена проверка соответствия объекта требованиям безопасности и  было принято решение об открытии рабочего движения по новому мосту.Демонтирован деревянный настил ,опоры,балки пролетных строений старого моста ,  работы  по контракту планируется завершить до 1 июня 2021 года .                                                                                                                          За отчетный период проведены следующие мероприятия по ремонту и содержанию дорог муниципального значения .                                                                        Это содержание дорог в зимнее время ,израсходовано     - 286 000 рублей .  На содержание дорог в летнее время расходы составили 362 000 руб. или    100 % от запланированной суммы.                                                                          На мероприятия по текущему ремонту дорог муниципального значения расходы составили 108 362,66 руб. Это затраты на корректировку сметной документации и получения заключения экспертизы, ремонт дорожного полотна в деревне Устье.                                                                                         </w:t>
      </w:r>
      <w:r>
        <w:rPr>
          <w:rFonts w:ascii="Times New Roman" w:eastAsia="Times New Roman" w:hAnsi="Times New Roman"/>
          <w:color w:val="000000"/>
          <w:sz w:val="24"/>
        </w:rPr>
        <w:t xml:space="preserve">- </w:t>
      </w:r>
      <w:r>
        <w:rPr>
          <w:rFonts w:ascii="Times New Roman" w:eastAsia="Times New Roman" w:hAnsi="Times New Roman"/>
          <w:color w:val="000000"/>
          <w:sz w:val="28"/>
          <w:szCs w:val="28"/>
        </w:rPr>
        <w:t>На содержание дорог  общего пользования муниципального значения и сооружений на них  расходы составили 1 055 439,00 рублей или 73,48% от запланированной суммы 1 436 280,80 рублей. Проведен ремонт автомобильной дороги общего пользования местного значения по адресу: Ленинградская область, Волосовский район, дер.Сабск; приобретен щебень ; выполнены работы по выравниванию дорожного полотна в дер. Язвище ,Изори, Редежа,подъезда  к  п.Кр.Маяк ,произведена  отсыпка щебнем участка от дороги регионального значения до д.М.Сабск.</w:t>
      </w:r>
    </w:p>
    <w:p>
      <w:pPr>
        <w:pStyle w:val="style0"/>
        <w:spacing w:after="240" w:before="240"/>
        <w:contextualSpacing w:val="false"/>
      </w:pPr>
      <w:r>
        <w:rPr>
          <w:rFonts w:ascii="Times New Roman" w:eastAsia="Times New Roman" w:hAnsi="Times New Roman"/>
          <w:color w:val="000000"/>
          <w:sz w:val="28"/>
          <w:szCs w:val="28"/>
        </w:rPr>
        <w:t xml:space="preserve">На капитальный ремонт муниципальных дорог израсходовано  –1 310 124,64 рублей, или 80,0 % к годовому плану  1 636 828,64 рубля, в том числе: 1 204  097,36 рублей за счет полученной областной субсидии бюджетам сельских поселений на осуществление дорожной деятельности в отношении атомобильных дорог общего пользования, а также капитального ремонта и ремонта дворовых территорий многоквартирных домов. По капитальному ремонту муниципальных дорог  проведены следующие работы: </w:t>
      </w:r>
      <w:r>
        <w:rPr>
          <w:sz w:val="28"/>
          <w:szCs w:val="28"/>
        </w:rPr>
        <w:t xml:space="preserve">                                                                                                                             </w:t>
      </w:r>
      <w:r>
        <w:rPr>
          <w:rFonts w:ascii="Times New Roman" w:eastAsia="Times New Roman" w:hAnsi="Times New Roman"/>
          <w:color w:val="000000"/>
          <w:sz w:val="28"/>
          <w:szCs w:val="28"/>
        </w:rPr>
        <w:t xml:space="preserve"> Ремонт дороги от дома №1 до дома №14 по ул.Дачная, от дома №5 до дома №11 по ул.Садовая в д.Большой Сабск Волосовского района Ленинградской области-израсходованы средства в сумме 189 174,64 рублей или 36,67% от запланированной суммы 515 878,64 рублей.                                                 Ремонт дороги от дома №8 до дома №14, от дома №11 до площадки ТКО в д.Большой Сабск  Волосовского района Ленинградской области-израсходованы средства в сумме 1 120 950,00 рублей или 100% от запланированной суммы лимитов .                                                                            На 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расходы составили  978 344,32 рубля или 99,95% от запланированой суммы 978 799,61 рублей, в том числе: 925 998,92 рублей за счет полученной субсидии бюджетам сельских поселений из областного бюджета. Расходы направлены на:</w:t>
      </w:r>
    </w:p>
    <w:p>
      <w:pPr>
        <w:pStyle w:val="style0"/>
      </w:pP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Ремонт дороги общего пользования местного значения, дер.Сабск.</w:t>
      </w:r>
      <w:r>
        <w:rPr>
          <w:sz w:val="28"/>
          <w:szCs w:val="28"/>
        </w:rPr>
        <w:t xml:space="preserve">                   </w:t>
      </w:r>
      <w:r>
        <w:rPr>
          <w:rFonts w:ascii="Times New Roman" w:eastAsia="Times New Roman" w:hAnsi="Times New Roman"/>
          <w:color w:val="000000"/>
          <w:sz w:val="28"/>
          <w:szCs w:val="28"/>
        </w:rPr>
        <w:t>На мероприятия по реализации областного закона от 28.12.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расходы составили сумму 1 101 938,78 рублей или 100% от запланированной суммы, в том числе: 1 043 628,92 рублей за счет полученной субсидии бюджетам сельских поселений из областного бюджета. Расходы направлены на ремонт дороги общего пользования местного значения в дер.Коряча.</w:t>
        <w:br/>
        <w:t>На  мероприятия по проектированию (реконструкции) автомобильных дорог общего пользования местного значения израсходована сумма 31 613 836,10 рублей или 76,79% от запланированной суммы 41 171 622,05 рублей. Расходы наравлены на реконструкцию мостового перехода через р.Саба в дер.Малый Сабск и осуществление строительного контроля</w:t>
        <w:br/>
        <w:t xml:space="preserve"> «Другие вопросы в области национальной экономики» исполнены в сумме – 683 000,00 рублей или 100 % к уточненному годовому плану. Расходы были направлены на оплату работ по постановке границ территориальных зон Генерального плана поселения. </w:t>
      </w:r>
    </w:p>
    <w:p>
      <w:pPr>
        <w:pStyle w:val="style0"/>
      </w:pPr>
      <w:r>
        <w:rPr>
          <w:rFonts w:ascii="Times New Roman" w:cs="Times New Roman" w:hAnsi="Times New Roman"/>
          <w:b/>
          <w:sz w:val="28"/>
          <w:szCs w:val="28"/>
          <w:u w:val="single"/>
        </w:rPr>
        <w:t xml:space="preserve">Жилищно-коммунальное хозяйство  </w:t>
      </w:r>
    </w:p>
    <w:p>
      <w:pPr>
        <w:pStyle w:val="style0"/>
      </w:pPr>
      <w:r>
        <w:rPr>
          <w:rFonts w:ascii="Times New Roman" w:cs="Times New Roman" w:hAnsi="Times New Roman"/>
          <w:sz w:val="28"/>
          <w:szCs w:val="28"/>
        </w:rPr>
        <w:t xml:space="preserve">Расходы по данному разделу исполнены в сумме 265 339,77 рублей. </w:t>
      </w:r>
      <w:r>
        <w:rPr>
          <w:rFonts w:ascii="Times New Roman" w:cs="Times New Roman" w:hAnsi="Times New Roman"/>
          <w:b/>
          <w:i/>
          <w:sz w:val="28"/>
          <w:szCs w:val="28"/>
        </w:rPr>
        <w:t>Жилищное хозяйство</w:t>
      </w:r>
      <w:r>
        <w:rPr>
          <w:rFonts w:ascii="Times New Roman" w:cs="Times New Roman" w:hAnsi="Times New Roman"/>
          <w:sz w:val="28"/>
          <w:szCs w:val="28"/>
        </w:rPr>
        <w:t xml:space="preserve"> (оплата взносов на капитальный ремонт )                                            -192 680,64 руб. или 100% к годовому плану.</w:t>
      </w:r>
      <w:r>
        <w:rPr>
          <w:rFonts w:ascii="Times New Roman" w:cs="Times New Roman" w:hAnsi="Times New Roman"/>
          <w:b/>
          <w:sz w:val="28"/>
          <w:szCs w:val="28"/>
        </w:rPr>
        <w:t xml:space="preserve"> </w:t>
      </w:r>
    </w:p>
    <w:p>
      <w:pPr>
        <w:pStyle w:val="style0"/>
      </w:pPr>
      <w:r>
        <w:rPr>
          <w:rFonts w:ascii="Times New Roman" w:cs="Times New Roman" w:hAnsi="Times New Roman"/>
          <w:sz w:val="28"/>
          <w:szCs w:val="28"/>
        </w:rPr>
        <w:t>.</w:t>
      </w:r>
      <w:r>
        <w:rPr>
          <w:rFonts w:ascii="Times New Roman" w:cs="Times New Roman" w:hAnsi="Times New Roman"/>
          <w:i/>
          <w:sz w:val="28"/>
          <w:szCs w:val="28"/>
        </w:rPr>
        <w:t>-</w:t>
      </w:r>
      <w:r>
        <w:rPr>
          <w:rFonts w:ascii="Times New Roman" w:cs="Times New Roman" w:hAnsi="Times New Roman"/>
          <w:b/>
          <w:i/>
          <w:sz w:val="28"/>
          <w:szCs w:val="28"/>
        </w:rPr>
        <w:t>Коммунальное хозяйство</w:t>
      </w:r>
      <w:r>
        <w:rPr>
          <w:rFonts w:ascii="Times New Roman" w:cs="Times New Roman" w:hAnsi="Times New Roman"/>
          <w:sz w:val="28"/>
          <w:szCs w:val="28"/>
        </w:rPr>
        <w:t xml:space="preserve">: исполнено 61 056,00 рублей или 100% к годовому плану .                                                                                  </w:t>
      </w:r>
      <w:r>
        <w:rPr>
          <w:rFonts w:ascii="Times New Roman" w:cs="Times New Roman" w:hAnsi="Times New Roman"/>
          <w:b/>
          <w:i/>
          <w:sz w:val="28"/>
          <w:szCs w:val="28"/>
        </w:rPr>
        <w:t>Благоустройство</w:t>
      </w:r>
      <w:r>
        <w:rPr>
          <w:rFonts w:ascii="Times New Roman" w:cs="Times New Roman" w:hAnsi="Times New Roman"/>
          <w:b/>
          <w:sz w:val="28"/>
          <w:szCs w:val="28"/>
        </w:rPr>
        <w:t>:</w:t>
      </w:r>
      <w:r>
        <w:rPr>
          <w:rFonts w:ascii="Times New Roman" w:cs="Times New Roman" w:hAnsi="Times New Roman"/>
          <w:sz w:val="28"/>
          <w:szCs w:val="28"/>
        </w:rPr>
        <w:t xml:space="preserve"> исполнено в сумме 1 668 893,42 руб.или 97,6% к годовому плану.                                                                                                        В рамках реализации областного закона от 28.12.2018 г. № 147-ОЗ   проведена реконструкция уличного освещения в населенных пунктах : Твердять и Старицы на сумму 250 000,00 рублей,в   т. ч. -за счет средств областного бюджета в сумме                                               - 236 771,08 рублей ;                                                                                                              средства местного бюджета                                                 -13 228,92 рублей.                                                                                             Установлены  светодиодные светильники , организован учет эл.энергии уличного освещения. Затраты по оплате за электроэнергию на освещение населенных пунктов составили 788 500 рублей .                                                                      Произведен спил деревьев представляющих угроду жизни и здоровью граждан, повреждению зданий , линий эл.передач на сумму 150 тыс.рублей. Проведена обработка кладбища от клеща в д.Редкино на площади 2 га на сумму 20 000рублей.                                                                                  Произведена оплата по договорам за обкос территори  в сумме 60 000 руб. </w:t>
      </w:r>
      <w:r>
        <w:rPr>
          <w:rFonts w:ascii="Times New Roman" w:cs="Times New Roman" w:hAnsi="Times New Roman"/>
          <w:b/>
          <w:sz w:val="28"/>
          <w:szCs w:val="28"/>
          <w:u w:val="single"/>
        </w:rPr>
        <w:t>Культура</w:t>
      </w:r>
      <w:r>
        <w:rPr>
          <w:rFonts w:ascii="Times New Roman" w:cs="Times New Roman" w:hAnsi="Times New Roman"/>
          <w:sz w:val="28"/>
          <w:szCs w:val="28"/>
        </w:rPr>
        <w:t xml:space="preserve"> : расходы по данному направлению исполнены в сумме 8 251 716,17 руб. или 97,14% к годовому плану( расходы направлены на оплату труда с начислениями,услуги связи ,электроснабжение,пожарной сигнализации,услуги по содержанию и обслуживанию помещения, приобретение основных средств,инвентаря и расходных материалов). В 2020году за счет средств депутатов ЗАКСа Ленинградской области:       Голикова Ю.М. в размере 2,0 млн.рублей отремонтирован пожарный водоем; Левченко М.Н. приобретена мебель  на сумму 50 000рублей;                         Густова В.А.закуплены сценические костюмы на сумму 300 000 рублей. Средняя заработная плата работников культуры  МКУ «ДК д.Б.Сабск» за 2020 год составила 41 884,16 руб. Планируемый показатель по заработной плате на 2021 год согласно « майских» указов Президента РФ должен составить 42 893,24,00 рубля.</w:t>
      </w:r>
    </w:p>
    <w:p>
      <w:pPr>
        <w:pStyle w:val="style0"/>
      </w:pPr>
      <w:r>
        <w:rPr>
          <w:rFonts w:ascii="Times New Roman" w:cs="Times New Roman" w:hAnsi="Times New Roman"/>
          <w:b/>
          <w:sz w:val="28"/>
          <w:szCs w:val="28"/>
          <w:u w:val="single"/>
        </w:rPr>
        <w:t>Социальная политика</w:t>
      </w:r>
      <w:r>
        <w:rPr>
          <w:rFonts w:ascii="Times New Roman" w:cs="Times New Roman" w:hAnsi="Times New Roman"/>
          <w:b/>
          <w:sz w:val="28"/>
          <w:szCs w:val="28"/>
        </w:rPr>
        <w:t xml:space="preserve">:                                                                                       </w:t>
      </w:r>
      <w:r>
        <w:rPr>
          <w:rFonts w:ascii="Times New Roman" w:cs="Times New Roman" w:hAnsi="Times New Roman"/>
          <w:sz w:val="28"/>
          <w:szCs w:val="28"/>
        </w:rPr>
        <w:t>пенсионное обеспечение : расходы исполнены в сумме 982 606,32 руб. или 100% к годовому плану;</w:t>
      </w:r>
    </w:p>
    <w:p>
      <w:pPr>
        <w:pStyle w:val="style0"/>
        <w:spacing w:after="0" w:before="0" w:line="100" w:lineRule="atLeast"/>
        <w:contextualSpacing w:val="false"/>
      </w:pPr>
      <w:r>
        <w:rPr>
          <w:rFonts w:ascii="Times New Roman" w:cs="Times New Roman" w:hAnsi="Times New Roman"/>
          <w:sz w:val="28"/>
          <w:szCs w:val="28"/>
        </w:rPr>
        <w:t>Оформляли справки на:субсидии, детские пособия , ходатайства,получение компенсации льготной категории граждан.                                                        На территории поселения продолжает работу  социальное отделение «Детство плюс»,оказывает услуги семьям с детьми нуждающимся в социальном обслуживании и оказавшимся в трудной жизненной ситуации.(Ольга Витальевна Алексеева).</w:t>
      </w:r>
    </w:p>
    <w:p>
      <w:pPr>
        <w:pStyle w:val="style0"/>
      </w:pPr>
      <w:r>
        <w:rPr>
          <w:rFonts w:ascii="Times New Roman" w:cs="Times New Roman" w:hAnsi="Times New Roman"/>
          <w:sz w:val="28"/>
          <w:szCs w:val="28"/>
        </w:rPr>
      </w:r>
    </w:p>
    <w:p>
      <w:pPr>
        <w:pStyle w:val="style0"/>
      </w:pPr>
      <w:r>
        <w:rPr>
          <w:rFonts w:ascii="Times New Roman" w:cs="Times New Roman" w:hAnsi="Times New Roman"/>
          <w:b/>
          <w:sz w:val="28"/>
          <w:szCs w:val="28"/>
          <w:u w:val="single"/>
        </w:rPr>
        <w:t>Физическая культура и спорт</w:t>
      </w:r>
      <w:r>
        <w:rPr>
          <w:rFonts w:ascii="Times New Roman" w:cs="Times New Roman" w:hAnsi="Times New Roman"/>
          <w:b/>
          <w:sz w:val="28"/>
          <w:szCs w:val="28"/>
        </w:rPr>
        <w:t>:</w:t>
      </w:r>
      <w:r>
        <w:rPr>
          <w:rFonts w:ascii="Times New Roman" w:cs="Times New Roman" w:hAnsi="Times New Roman"/>
          <w:sz w:val="28"/>
          <w:szCs w:val="28"/>
        </w:rPr>
        <w:t xml:space="preserve">  исполнено 33 000,00 руб. на приобретение спортивного инвентаря. Участие в спортивных соревнованиях , спартакиадах районного масштаба принимаем не всегда по причине отсутствия активной молодежи постоянно проживающей на территории поселения .</w:t>
      </w:r>
    </w:p>
    <w:p>
      <w:pPr>
        <w:pStyle w:val="style0"/>
      </w:pPr>
      <w:r>
        <w:rPr>
          <w:rFonts w:ascii="Times New Roman" w:cs="Times New Roman" w:hAnsi="Times New Roman"/>
          <w:sz w:val="28"/>
          <w:szCs w:val="28"/>
        </w:rPr>
        <w:t>Администрацией поселения ведется работа по актуализации базы данных земельных участков, домовладений . В результате проделанной работы по сверке данных, выявляются земельные участки , которые не стоят на кадастровом учете или фактическая площадь значительно превышает оформленную . Были внесены 15 земельных участков в план проверок в рамках  муниципального земельного контроля на 2020 год.Проверено 9 земельных участков, на владельцев 6 из них составлены протокола по ч.1 ст.4.10 закона от 02.07.2003 года №47-ОЗ « Об административных правонарушениях» . На 2021 год запланирована проверка 11 земельных участков.За истекший период гражданам постоянно зарегистрированным на территории поселения и «дачникам» путем проведения торгов предоставлено земельных участков  на сумму :</w:t>
      </w:r>
    </w:p>
    <w:p>
      <w:pPr>
        <w:pStyle w:val="style0"/>
      </w:pPr>
      <w:r>
        <w:rPr>
          <w:rFonts w:ascii="Times New Roman" w:cs="Times New Roman" w:hAnsi="Times New Roman"/>
          <w:sz w:val="28"/>
          <w:szCs w:val="28"/>
        </w:rPr>
        <w:t>выкуп в собственность----------- 2 814 тыс.руб.                                                           выкуп на право аренды------------     95 500 руб.                                                       Ведутся работы:                                                                                                          -по постановке на кадастровый учет  кладбищ , 5 из них поставлены и  на 2  направлены документу на постановку на кадастровый учет в Филиал ФГБУ «ФКП Росреестра» по Ленинградской области ;                                                   -зон территориального планирования   Генерального плана поселения,  в этом году нужно поставить на учет границы оставшихся двух населенных пунктов. Необходимы денежные средства для проведения работ по внесению изменений в Генеральный план и  ПЗЗ практически по всем населенным пунктам поселения . За счет средств местного бюджета выполнить данные работы невозможно.</w:t>
      </w:r>
    </w:p>
    <w:p>
      <w:pPr>
        <w:pStyle w:val="style0"/>
      </w:pPr>
      <w:r>
        <w:rPr>
          <w:rFonts w:ascii="Times New Roman" w:cs="Times New Roman" w:hAnsi="Times New Roman"/>
          <w:sz w:val="28"/>
          <w:szCs w:val="28"/>
        </w:rPr>
        <w:t xml:space="preserve">Подводя итоги 2020 года, можно отметить, что в целом на территории  Сабского  сельского поселения в течение отчётного периода была сохранена стабильная социально-экономическая обстановка, обеспечена жизнедеятельность населённых пунктов и безаварийная работа объектов инженерной инфраструктуры .  </w:t>
      </w:r>
    </w:p>
    <w:p>
      <w:pPr>
        <w:pStyle w:val="style0"/>
      </w:pPr>
      <w:r>
        <w:rPr>
          <w:rFonts w:ascii="Times New Roman" w:cs="Times New Roman" w:hAnsi="Times New Roman"/>
          <w:sz w:val="28"/>
          <w:szCs w:val="28"/>
        </w:rPr>
        <w:t xml:space="preserve"> </w:t>
      </w:r>
      <w:r>
        <w:rPr>
          <w:rFonts w:ascii="Times New Roman" w:cs="Times New Roman" w:hAnsi="Times New Roman"/>
          <w:sz w:val="28"/>
          <w:szCs w:val="28"/>
        </w:rPr>
        <w:t>В текущем году планируем все таки завершить работы по реконструкции мостового перехода через р.Саба в д.Малый Сабск, прдолжить отсыпку щебнем  дороги общего пользования местного значения  по улице Центральная до границы населенного пункта,ремонт дороги общего пользования в д.Б.Сабск(асфальт),ремонт дороги по улице Сосновая д.Б.Сабск, ремонт дорог общего пользования в д.Малый Сабск. Запланировано строительство торгового  павильона для  жителей д.Б.Сабск,определены лимиты денежных средств на эти цели в размере 150 тыс.рублей.  Ведутся работы по подготовке сметной документации на ремонт фойе, вестибюля . Необходимо в этом году подготовить проектную документацию на ремонт спортивного зала,автоматической установки пожаротушения,системы оповещения и управления эвакуации людей и сдать данную документацию на проверку в ГАУ «Леноблэкспертиза» для формирования заявки на включение поселения в программу «Комплексное развитие сельских территорий» .(опыт поселения по включению объектов в программу в 2021 году).  На 2021 год выделены денежные средства депутатами ЗАКСа Ленинградской области  Густовым В.А. на приобретение звуковой аппаратуры  в сумме 180 тыс.рублей, Перминов А.А. на приобретение спортивного инвентаря в сумме 288 900 рублей , а денежные средства депутата ЗАКСа от ЛДПР Шадаева Д.Р. на ремонт фойе и вестибюля ДК в размере 2 000 000рублей.                                                                                                               По итогам анализа представленных предложений по включению межпоселковых газопроводов в Программу развития газоснабжения и газификации Ленинградской области на 2021-2025 г.,реализуемую ПАО «Газпром» комитетом по ТЭК Ленинградской области на основании значимости предложений администрации района наше поселение в приоритете.Предстоит серезная подготовительная работа в этом направлении.Предполагается за указанный период построить межпоселковый газопровод ГРС Красный Луч-д.Извоз-д.Волна-д.Вязок-д.Слепино-д.Мышкино-д.Редкино-д.Б.Сабск  и   межпоселковый газопровод     до п.Кр.Маяк-д.Лемовжа-д.Хотнежа-д.Коряча Волосовского района .</w:t>
      </w:r>
    </w:p>
    <w:p>
      <w:pPr>
        <w:pStyle w:val="style0"/>
      </w:pPr>
      <w:r>
        <w:rPr>
          <w:rFonts w:ascii="Times New Roman" w:cs="Times New Roman" w:hAnsi="Times New Roman"/>
          <w:sz w:val="28"/>
          <w:szCs w:val="28"/>
        </w:rPr>
        <w:t xml:space="preserve">2021 год- год выборов депутатов ЗАКСа Ленинградской области  и Государственной Думы Федерального собрания  РФ . Наша задача – достойно организовать и провести выборы . </w:t>
      </w:r>
    </w:p>
    <w:p>
      <w:pPr>
        <w:pStyle w:val="style0"/>
      </w:pPr>
      <w:r>
        <w:rPr>
          <w:rFonts w:ascii="Times New Roman" w:cs="Times New Roman" w:hAnsi="Times New Roman"/>
          <w:sz w:val="28"/>
          <w:szCs w:val="28"/>
        </w:rPr>
        <w:t xml:space="preserve">  </w:t>
      </w:r>
      <w:r>
        <w:rPr>
          <w:rFonts w:ascii="Times New Roman" w:cs="Times New Roman" w:hAnsi="Times New Roman"/>
          <w:sz w:val="28"/>
          <w:szCs w:val="28"/>
        </w:rPr>
        <w:t>В заключении , мне хотелось бы поблагодарить всех депутатов за совместную работу, пожелать всем дальнейшей совместной плодотворной работы и взаимопонимания. Администрация поселения благодарна всем, кто помогал в прошедшем году словом и делом . Ведь только совместными усилиями всех уровней власти, неравнодушных жителей можно добиться положительных результатов в работе органов местного самоуправления.</w:t>
      </w:r>
    </w:p>
    <w:p>
      <w:pPr>
        <w:pStyle w:val="style0"/>
        <w:jc w:val="both"/>
      </w:pPr>
      <w:r>
        <w:rPr>
          <w:rFonts w:ascii="Times New Roman" w:cs="Times New Roman" w:hAnsi="Times New Roman"/>
          <w:sz w:val="28"/>
          <w:szCs w:val="28"/>
        </w:rPr>
        <w:t>Спасибо за внимание.</w:t>
      </w:r>
    </w:p>
    <w:p>
      <w:pPr>
        <w:pStyle w:val="style0"/>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Интернет-ссылка"/>
    <w:basedOn w:val="style15"/>
    <w:next w:val="style16"/>
    <w:rPr>
      <w:color w:val="0000FF"/>
      <w:u w:val="single"/>
      <w:lang w:bidi="zxx-" w:eastAsia="zxx-" w:val="zxx-"/>
    </w:rPr>
  </w:style>
  <w:style w:styleId="style17" w:type="paragraph">
    <w:name w:val="Заголовок"/>
    <w:basedOn w:val="style0"/>
    <w:next w:val="style18"/>
    <w:pPr>
      <w:keepNext/>
      <w:spacing w:after="120" w:before="240"/>
      <w:contextualSpacing w:val="false"/>
    </w:pPr>
    <w:rPr>
      <w:rFonts w:ascii="Arial" w:cs="Mangal" w:eastAsia="Microsoft YaHei" w:hAnsi="Arial"/>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contextualSpacing w:val="false"/>
    </w:pPr>
    <w:rPr>
      <w:rFonts w:cs="Mangal"/>
      <w:i/>
      <w:iCs/>
      <w:sz w:val="24"/>
      <w:szCs w:val="24"/>
    </w:rPr>
  </w:style>
  <w:style w:styleId="style21" w:type="paragraph">
    <w:name w:val="Указатель"/>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715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2021-03-10T12:23:00.00Z</dcterms:created>
  <dc:creator>Ussr</dc:creator>
  <cp:lastModifiedBy>Ussr</cp:lastModifiedBy>
  <cp:lastPrinted>2021-03-12T10:55:00.00Z</cp:lastPrinted>
  <dcterms:modified xsi:type="dcterms:W3CDTF">2021-03-12T10:57:00.00Z</dcterms:modified>
  <cp:revision>15</cp:revision>
</cp:coreProperties>
</file>