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C5" w:rsidRPr="00D05667" w:rsidRDefault="00B70EC5" w:rsidP="00B70E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67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D05667" w:rsidRDefault="00B70EC5" w:rsidP="00B70E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67">
        <w:rPr>
          <w:rFonts w:ascii="Times New Roman" w:hAnsi="Times New Roman" w:cs="Times New Roman"/>
          <w:b/>
          <w:sz w:val="32"/>
          <w:szCs w:val="32"/>
        </w:rPr>
        <w:t xml:space="preserve">о социально-экономическом развитии </w:t>
      </w:r>
    </w:p>
    <w:p w:rsidR="004C48C1" w:rsidRPr="00D05667" w:rsidRDefault="00B70EC5" w:rsidP="00B70E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05667">
        <w:rPr>
          <w:rFonts w:ascii="Times New Roman" w:hAnsi="Times New Roman" w:cs="Times New Roman"/>
          <w:b/>
          <w:sz w:val="32"/>
          <w:szCs w:val="32"/>
        </w:rPr>
        <w:t>Тихвинского ГП</w:t>
      </w:r>
    </w:p>
    <w:p w:rsidR="00B70EC5" w:rsidRPr="00D05667" w:rsidRDefault="00B70EC5" w:rsidP="00B70EC5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5667">
        <w:rPr>
          <w:rFonts w:ascii="Times New Roman" w:hAnsi="Times New Roman" w:cs="Times New Roman"/>
          <w:b/>
          <w:sz w:val="32"/>
          <w:szCs w:val="32"/>
        </w:rPr>
        <w:t>за 2020 год</w:t>
      </w:r>
    </w:p>
    <w:p w:rsidR="00B70EC5" w:rsidRPr="00D05667" w:rsidRDefault="00B70EC5" w:rsidP="00B70EC5">
      <w:pPr>
        <w:rPr>
          <w:sz w:val="32"/>
          <w:szCs w:val="32"/>
        </w:rPr>
      </w:pPr>
    </w:p>
    <w:p w:rsidR="00B70EC5" w:rsidRPr="00B70EC5" w:rsidRDefault="00B70EC5" w:rsidP="00B70EC5"/>
    <w:p w:rsidR="00B70EC5" w:rsidRDefault="00B70EC5" w:rsidP="00B70EC5"/>
    <w:p w:rsidR="00B70EC5" w:rsidRPr="00B70EC5" w:rsidRDefault="00B70EC5" w:rsidP="00B70EC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B70EC5">
        <w:rPr>
          <w:rFonts w:ascii="Times New Roman" w:eastAsia="Calibri" w:hAnsi="Times New Roman" w:cs="Times New Roman"/>
          <w:b/>
          <w:sz w:val="30"/>
          <w:szCs w:val="30"/>
        </w:rPr>
        <w:t>Исполнение бюджета Тихвинского городского поселения</w:t>
      </w:r>
    </w:p>
    <w:p w:rsidR="00B70EC5" w:rsidRPr="00B70EC5" w:rsidRDefault="00B70EC5" w:rsidP="00B70E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В бюджет городского поселения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поступило 618,0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миллионов рублей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или 97,1% от плановых назначений.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70EC5">
        <w:rPr>
          <w:rFonts w:ascii="Times New Roman" w:eastAsia="Calibri" w:hAnsi="Times New Roman" w:cs="Times New Roman"/>
          <w:sz w:val="30"/>
          <w:szCs w:val="30"/>
        </w:rPr>
        <w:t>Поступление ниже плановых назначений составило около 18 млн. руб. в счет уменьшения суммы безвозмездных поступлений.</w:t>
      </w:r>
    </w:p>
    <w:p w:rsidR="00B70EC5" w:rsidRPr="00B70EC5" w:rsidRDefault="00B70EC5" w:rsidP="00B70EC5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b/>
          <w:sz w:val="30"/>
          <w:szCs w:val="30"/>
        </w:rPr>
        <w:t xml:space="preserve">Собственных доходов 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поступило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352,3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миллиона рублей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B70EC5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это на </w:t>
      </w:r>
      <w:r w:rsidRPr="00B70EC5">
        <w:rPr>
          <w:rFonts w:ascii="Times New Roman" w:eastAsia="Calibri" w:hAnsi="Times New Roman" w:cs="Times New Roman"/>
          <w:b/>
          <w:sz w:val="30"/>
          <w:szCs w:val="30"/>
          <w:u w:val="single"/>
        </w:rPr>
        <w:t xml:space="preserve">4,2 миллиона рублей </w:t>
      </w:r>
      <w:r w:rsidRPr="00B70EC5">
        <w:rPr>
          <w:rFonts w:ascii="Times New Roman" w:eastAsia="Calibri" w:hAnsi="Times New Roman" w:cs="Times New Roman"/>
          <w:sz w:val="30"/>
          <w:szCs w:val="30"/>
          <w:u w:val="single"/>
        </w:rPr>
        <w:t>больше показателей 2019 года,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что произошло за счет увеличения суммы имущественных налогов и неналоговых доходов при снижении НДФЛ.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Безвозмездные поступления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составили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265,7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миллиона рублей</w:t>
      </w:r>
      <w:r w:rsidRPr="00B70EC5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70EC5" w:rsidRDefault="00B70EC5" w:rsidP="00B7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B70EC5" w:rsidRPr="00B70EC5" w:rsidRDefault="00B70EC5" w:rsidP="00B7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B70EC5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Pr="00B70EC5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Структура доходов бюджета Тихвинского городского поселения</w:t>
      </w:r>
    </w:p>
    <w:p w:rsidR="00B70EC5" w:rsidRPr="00B70EC5" w:rsidRDefault="00B70EC5" w:rsidP="00B70EC5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B70EC5" w:rsidRPr="00B70EC5" w:rsidRDefault="00B70EC5" w:rsidP="00B7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EC5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532766FE" wp14:editId="29A6F797">
            <wp:extent cx="5929630" cy="1794164"/>
            <wp:effectExtent l="0" t="0" r="13970" b="15875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0EC5" w:rsidRPr="00B70EC5" w:rsidRDefault="00B70EC5" w:rsidP="00B7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EC5" w:rsidRPr="00B70EC5" w:rsidRDefault="00B70EC5" w:rsidP="00B70E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>Основными источниками собственных доходов являются налоговые доходы: налог на доходы физических лиц (211 миллионов рублей, 60%) и имущественные налоги (60 миллионов рублей - 17%).</w:t>
      </w:r>
    </w:p>
    <w:p w:rsidR="00B70EC5" w:rsidRPr="00B70EC5" w:rsidRDefault="00B70EC5" w:rsidP="00B70EC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B70EC5" w:rsidRPr="00B70EC5" w:rsidRDefault="00B70EC5" w:rsidP="00B70E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Исполнение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расходной части бюджета Тихвинского городского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поселения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составило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653,4 миллиона рублей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, или </w:t>
      </w:r>
      <w:r w:rsidRPr="00B70EC5">
        <w:rPr>
          <w:rFonts w:ascii="Times New Roman" w:eastAsia="Calibri" w:hAnsi="Times New Roman" w:cs="Times New Roman"/>
          <w:b/>
          <w:sz w:val="30"/>
          <w:szCs w:val="30"/>
        </w:rPr>
        <w:t>92%</w:t>
      </w: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годового плана. В бюджете городского поселения наибольший удельный вес занимают расходы, связанные с городским хозяйством, – дорожная деятельность и благоустройство.</w:t>
      </w: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B70EC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Не полное исполнение расходной части бюджета, в основном, объясняется сроками окончания работ по контрактам в 2021 году. </w:t>
      </w: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B70EC5" w:rsidRDefault="00B70EC5" w:rsidP="00B70EC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0E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</w:p>
    <w:p w:rsidR="00B70EC5" w:rsidRPr="00B70EC5" w:rsidRDefault="00B70EC5" w:rsidP="00B70EC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0EC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Структура расходов бюджета Тихвинского городского поселения </w:t>
      </w:r>
    </w:p>
    <w:p w:rsidR="00B70EC5" w:rsidRPr="00B70EC5" w:rsidRDefault="00B70EC5" w:rsidP="00B7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EC5" w:rsidRPr="00B70EC5" w:rsidRDefault="00B70EC5" w:rsidP="00B7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0EC5">
        <w:rPr>
          <w:rFonts w:ascii="Times New Roman" w:eastAsia="Calibri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575231E" wp14:editId="79D0DF68">
            <wp:extent cx="5908964" cy="2216150"/>
            <wp:effectExtent l="0" t="0" r="15875" b="1270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0EC5" w:rsidRPr="00B70EC5" w:rsidRDefault="00B70EC5" w:rsidP="00B70E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0EC5" w:rsidRPr="00B70EC5" w:rsidRDefault="00B70EC5" w:rsidP="00B70EC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>Программные расходы или расходы в рамках муниципальных программ составили 94,6% от расходов бюджета.</w:t>
      </w: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>Одна из задач, решаемых в сфере финансов, сокращение муниципального долга в районном и городском бюджетах.</w:t>
      </w: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>В бюджете Тихвинского района в 2020 году погашен бюджетный кредит из областного бюджета в сумме 9,6 миллионов рублей, по состоянию на 1 января 2021 года муниципального долга нет.</w:t>
      </w: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>Муниципальный долг городского поселения на 1 января 2021 года составил 12,5 миллионов рублей. По сравнению с 2019 годом объем долга сократился на 16,8 миллионов рублей, в том числе:</w:t>
      </w: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>- на 10,8 миллиона рублей в связи с окончанием срока действия предоставленной в 2005 году муниципальной гарантии по проекту «Северная инициатива»;</w:t>
      </w:r>
    </w:p>
    <w:p w:rsidR="00B70EC5" w:rsidRPr="00B70EC5" w:rsidRDefault="00B70EC5" w:rsidP="00B70E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- на 6 миллионов рублей </w:t>
      </w:r>
      <w:proofErr w:type="gramStart"/>
      <w:r w:rsidRPr="00B70EC5">
        <w:rPr>
          <w:rFonts w:ascii="Times New Roman" w:eastAsia="Calibri" w:hAnsi="Times New Roman" w:cs="Times New Roman"/>
          <w:sz w:val="30"/>
          <w:szCs w:val="30"/>
        </w:rPr>
        <w:t>в связи с погашением бюджетного кредита из областного бюджета в соответствии с графиком</w:t>
      </w:r>
      <w:proofErr w:type="gramEnd"/>
      <w:r w:rsidRPr="00B70EC5">
        <w:rPr>
          <w:rFonts w:ascii="Times New Roman" w:eastAsia="Calibri" w:hAnsi="Times New Roman" w:cs="Times New Roman"/>
          <w:sz w:val="30"/>
          <w:szCs w:val="30"/>
        </w:rPr>
        <w:t xml:space="preserve"> платежей.</w:t>
      </w:r>
      <w:r w:rsidRPr="00B70EC5">
        <w:rPr>
          <w:rFonts w:ascii="Times New Roman" w:eastAsia="Calibri" w:hAnsi="Times New Roman" w:cs="Times New Roman"/>
          <w:sz w:val="30"/>
          <w:szCs w:val="30"/>
        </w:rPr>
        <w:tab/>
        <w:t>Расходы на обслуживание муниципального долга составили 0,01% от общего объема расходов.</w:t>
      </w:r>
    </w:p>
    <w:p w:rsidR="007E7491" w:rsidRDefault="007E7491" w:rsidP="00B70EC5">
      <w:pPr>
        <w:rPr>
          <w:rFonts w:ascii="Times New Roman" w:eastAsia="Calibri" w:hAnsi="Times New Roman" w:cs="Times New Roman"/>
          <w:color w:val="1F497D"/>
          <w:sz w:val="26"/>
          <w:szCs w:val="26"/>
        </w:rPr>
      </w:pP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7E7491">
        <w:rPr>
          <w:rFonts w:ascii="Times New Roman" w:eastAsia="Calibri" w:hAnsi="Times New Roman" w:cs="Times New Roman"/>
          <w:b/>
          <w:bCs/>
          <w:sz w:val="30"/>
          <w:szCs w:val="30"/>
          <w:lang w:eastAsia="ru-RU"/>
        </w:rPr>
        <w:t>Ка</w:t>
      </w:r>
      <w:r w:rsidRPr="007E749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питальный ремонт общедомового имущества многоквартирных домов</w:t>
      </w: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>В план региональной программы капремонта по Тихвинскому городскому поселению на 2020 год были включены 38 многоквартирных домов</w:t>
      </w:r>
      <w:r w:rsidRPr="007E749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7E7491">
        <w:rPr>
          <w:rFonts w:ascii="Times New Roman" w:eastAsia="Calibri" w:hAnsi="Times New Roman" w:cs="Times New Roman"/>
          <w:b/>
          <w:sz w:val="30"/>
          <w:szCs w:val="30"/>
        </w:rPr>
        <w:t>на общую сумму 64 млн. рублей.</w:t>
      </w: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>Из них:</w:t>
      </w: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В</w:t>
      </w:r>
      <w:r w:rsidRPr="007E749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>24</w:t>
      </w:r>
      <w:r w:rsidRPr="007E749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>домах</w:t>
      </w:r>
      <w:r w:rsidRPr="007E7491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– ремонт сетей электроснабжения, в 10 – ремонт кровли, в 3 - ремонт лифтового оборудования, в одном доме - </w:t>
      </w:r>
      <w:r w:rsidRPr="007E7491">
        <w:rPr>
          <w:rFonts w:ascii="Times New Roman" w:eastAsia="Calibri" w:hAnsi="Times New Roman" w:cs="Times New Roman"/>
          <w:sz w:val="30"/>
          <w:szCs w:val="30"/>
        </w:rPr>
        <w:t>ремонт систем ГВС, ХВС, водоотведения.</w:t>
      </w: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7E7491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По состоянию на 1 февраля этого года полностью завершены: ремонт лифтов, ремонт кровель 6 домов, ремонт сетей электроснабжения 17 домов. На остальных объектах работы ведутся или перенесены на 2021 год.</w:t>
      </w: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>На 2021 год в региональную программу по городскому поселению включено еще 158 домов, как на ремонт, так и для разработки проектной документации.</w:t>
      </w: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>За счет бюджетных средств выполнен капитальный ремонт в 4 домах блокированной застройки поселка Сарка.</w:t>
      </w:r>
    </w:p>
    <w:p w:rsidR="007E7491" w:rsidRPr="007E7491" w:rsidRDefault="007E7491" w:rsidP="007E74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E7491">
        <w:rPr>
          <w:rFonts w:ascii="Times New Roman" w:eastAsia="Calibri" w:hAnsi="Times New Roman" w:cs="Times New Roman"/>
          <w:sz w:val="30"/>
          <w:szCs w:val="30"/>
          <w:lang w:eastAsia="ru-RU"/>
        </w:rPr>
        <w:t>Управляющими организациями проведен косметический ремонт 87 подъездов многоквартирных домов города.</w:t>
      </w:r>
    </w:p>
    <w:p w:rsidR="00ED1231" w:rsidRDefault="00ED1231" w:rsidP="00B70EC5">
      <w:pPr>
        <w:rPr>
          <w:rFonts w:ascii="Times New Roman" w:eastAsia="Calibri" w:hAnsi="Times New Roman" w:cs="Times New Roman"/>
          <w:color w:val="1F497D"/>
          <w:sz w:val="26"/>
          <w:szCs w:val="26"/>
        </w:rPr>
      </w:pPr>
    </w:p>
    <w:p w:rsidR="00ED1231" w:rsidRPr="00ED1231" w:rsidRDefault="00ED1231" w:rsidP="00ED1231">
      <w:pPr>
        <w:tabs>
          <w:tab w:val="num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0"/>
          <w:szCs w:val="30"/>
        </w:rPr>
      </w:pPr>
      <w:r w:rsidRPr="00ED1231">
        <w:rPr>
          <w:rFonts w:ascii="Times New Roman" w:eastAsia="Calibri" w:hAnsi="Times New Roman" w:cs="Times New Roman"/>
          <w:b/>
          <w:sz w:val="30"/>
          <w:szCs w:val="30"/>
        </w:rPr>
        <w:t>Газификация жилищного фонда</w:t>
      </w:r>
    </w:p>
    <w:p w:rsidR="00ED1231" w:rsidRPr="00ED1231" w:rsidRDefault="00ED1231" w:rsidP="00ED12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1231">
        <w:rPr>
          <w:rFonts w:ascii="Times New Roman" w:eastAsia="Calibri" w:hAnsi="Times New Roman" w:cs="Times New Roman"/>
          <w:sz w:val="30"/>
          <w:szCs w:val="30"/>
        </w:rPr>
        <w:t xml:space="preserve">Продолжались работы в рамках программы «Газификация Ленинградской области». </w:t>
      </w:r>
    </w:p>
    <w:p w:rsidR="00ED1231" w:rsidRPr="00ED1231" w:rsidRDefault="00ED1231" w:rsidP="00ED123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D1231">
        <w:rPr>
          <w:rFonts w:ascii="Times New Roman" w:eastAsia="Calibri" w:hAnsi="Times New Roman" w:cs="Times New Roman"/>
          <w:color w:val="000000"/>
          <w:sz w:val="30"/>
          <w:szCs w:val="30"/>
        </w:rPr>
        <w:t>Нами получено положительное заключение экспертизы по проекту и в конце года определен подрядчик на строительство р</w:t>
      </w:r>
      <w:r w:rsidRPr="00ED1231">
        <w:rPr>
          <w:rFonts w:ascii="Times New Roman" w:eastAsia="Calibri" w:hAnsi="Times New Roman" w:cs="Times New Roman"/>
          <w:sz w:val="30"/>
          <w:szCs w:val="30"/>
        </w:rPr>
        <w:t xml:space="preserve">аспределительного газопровода протяженностью 15,4 км </w:t>
      </w:r>
      <w:r w:rsidRPr="00ED1231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 xml:space="preserve">к жилым домам по улицам Ленинградская, Советская, </w:t>
      </w:r>
      <w:proofErr w:type="spellStart"/>
      <w:r w:rsidRPr="00ED1231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>Плаунская</w:t>
      </w:r>
      <w:proofErr w:type="spellEnd"/>
      <w:r w:rsidRPr="00ED1231">
        <w:rPr>
          <w:rFonts w:ascii="Times New Roman" w:eastAsia="Calibri" w:hAnsi="Times New Roman" w:cs="Times New Roman"/>
          <w:bCs/>
          <w:iCs/>
          <w:sz w:val="30"/>
          <w:szCs w:val="30"/>
          <w:lang w:eastAsia="ru-RU"/>
        </w:rPr>
        <w:t xml:space="preserve"> и прилегающим к ним территориям. </w:t>
      </w:r>
      <w:r w:rsidRPr="00ED1231">
        <w:rPr>
          <w:rFonts w:ascii="Times New Roman" w:eastAsia="Calibri" w:hAnsi="Times New Roman" w:cs="Times New Roman"/>
          <w:sz w:val="30"/>
          <w:szCs w:val="30"/>
        </w:rPr>
        <w:t>Общая стоимость работ 92 млн. рублей (86 млн. руб. - областной бюджет).  Строительство должно быть завершено в 2021 году.</w:t>
      </w:r>
    </w:p>
    <w:p w:rsidR="000C4DAB" w:rsidRPr="000C4DAB" w:rsidRDefault="000C4DAB" w:rsidP="000C4DA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30"/>
          <w:szCs w:val="30"/>
          <w:lang w:eastAsia="ru-RU"/>
        </w:rPr>
      </w:pPr>
      <w:r w:rsidRPr="000C4DA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Дорожная деятельность</w:t>
      </w:r>
    </w:p>
    <w:p w:rsidR="000C4DAB" w:rsidRPr="000C4DAB" w:rsidRDefault="000C4DAB" w:rsidP="000C4D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4DA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Важная для жителей тема дороги. Плановый ремонт дорог в городе был начат еще в 2017 году. </w:t>
      </w:r>
    </w:p>
    <w:p w:rsidR="000C4DAB" w:rsidRPr="000C4DAB" w:rsidRDefault="000C4DAB" w:rsidP="000C4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4DAB">
        <w:rPr>
          <w:rFonts w:ascii="Times New Roman" w:eastAsia="Calibri" w:hAnsi="Times New Roman" w:cs="Times New Roman"/>
          <w:sz w:val="30"/>
          <w:szCs w:val="30"/>
          <w:lang w:eastAsia="ru-RU"/>
        </w:rPr>
        <w:t>В настоящее время работы проводятся в соответствии с утвержденными планами по ремонту дорог и комплексному ремонту дворовых территорий на 2020 - 2024 годы.</w:t>
      </w:r>
    </w:p>
    <w:p w:rsidR="000C4DAB" w:rsidRPr="000C4DAB" w:rsidRDefault="000C4DAB" w:rsidP="000C4DAB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C4DAB">
        <w:rPr>
          <w:rFonts w:ascii="Times New Roman" w:eastAsia="Calibri" w:hAnsi="Times New Roman" w:cs="Times New Roman"/>
          <w:sz w:val="30"/>
          <w:szCs w:val="30"/>
          <w:lang w:eastAsia="ru-RU"/>
        </w:rPr>
        <w:t>В 2020 году на их реализацию было израсходовано в общей сложности 133 млн. рублей.</w:t>
      </w:r>
    </w:p>
    <w:p w:rsidR="000C4DAB" w:rsidRPr="000C4DAB" w:rsidRDefault="000C4DAB" w:rsidP="000C4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ar-SA"/>
        </w:rPr>
      </w:pPr>
      <w:r w:rsidRPr="000C4DA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На ремонт дорог городского поселения направлено 77 млн. рублей. </w:t>
      </w:r>
      <w:r w:rsidRPr="000C4DAB">
        <w:rPr>
          <w:rFonts w:ascii="Times New Roman" w:eastAsia="Calibri" w:hAnsi="Times New Roman" w:cs="Times New Roman"/>
          <w:sz w:val="30"/>
          <w:szCs w:val="30"/>
          <w:lang w:eastAsia="ar-SA"/>
        </w:rPr>
        <w:t xml:space="preserve">Выполнены ремонты участков дорог протяженностью более 4,2 км. </w:t>
      </w:r>
    </w:p>
    <w:p w:rsidR="000C4DAB" w:rsidRPr="000C4DAB" w:rsidRDefault="000C4DAB" w:rsidP="000C4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C4DAB">
        <w:rPr>
          <w:rFonts w:ascii="Times New Roman" w:eastAsia="Calibri" w:hAnsi="Times New Roman" w:cs="Times New Roman"/>
          <w:bCs/>
          <w:sz w:val="30"/>
          <w:szCs w:val="30"/>
        </w:rPr>
        <w:t>Отремонтировано 18 дворовых территорий в 1, 2, 5, 6 микрорайонах города. На эти цели потрачено более 55 млн. рублей.</w:t>
      </w:r>
    </w:p>
    <w:p w:rsidR="000C4DAB" w:rsidRPr="000C4DAB" w:rsidRDefault="000C4DAB" w:rsidP="000C4D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</w:rPr>
      </w:pPr>
      <w:r w:rsidRPr="000C4DAB">
        <w:rPr>
          <w:rFonts w:ascii="Times New Roman" w:eastAsia="Calibri" w:hAnsi="Times New Roman" w:cs="Times New Roman"/>
          <w:bCs/>
          <w:sz w:val="30"/>
          <w:szCs w:val="30"/>
        </w:rPr>
        <w:t xml:space="preserve">Всего же, начиная с 2017 года, проведен комплексный ремонт 136 дворовых территорий. На сегодняшний день в план по ремонту на 2020 - 2024 гг. внесено еще 53 дворовые территории. </w:t>
      </w:r>
    </w:p>
    <w:p w:rsidR="00A76294" w:rsidRPr="00A76294" w:rsidRDefault="00A76294" w:rsidP="00A76294">
      <w:pPr>
        <w:tabs>
          <w:tab w:val="left" w:pos="0"/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76294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 xml:space="preserve">Долгожданным событием для горожан стал ремонт центральной дороги в садоводстве «Кайвакса», где находится более трех тысяч садоводческих участков, в основном жителей города. </w:t>
      </w:r>
    </w:p>
    <w:p w:rsidR="00A76294" w:rsidRPr="00A76294" w:rsidRDefault="00A76294" w:rsidP="00A76294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A76294">
        <w:rPr>
          <w:rFonts w:ascii="Times New Roman" w:eastAsia="Calibri" w:hAnsi="Times New Roman" w:cs="Times New Roman"/>
          <w:sz w:val="30"/>
          <w:szCs w:val="30"/>
          <w:lang w:eastAsia="ru-RU"/>
        </w:rPr>
        <w:t>Дорога более 20 лет практически оставалась бесхозной. Было принято решение о приеме ее в муниципальную собственность и выделении на ее ремонт восьми миллионов рублей.</w:t>
      </w:r>
    </w:p>
    <w:p w:rsidR="00A76294" w:rsidRDefault="00A76294" w:rsidP="00A76294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76294">
        <w:rPr>
          <w:rFonts w:ascii="Times New Roman" w:eastAsia="Calibri" w:hAnsi="Times New Roman" w:cs="Times New Roman"/>
          <w:sz w:val="30"/>
          <w:szCs w:val="30"/>
        </w:rPr>
        <w:t xml:space="preserve">Еще одним важным направлением в этой сфере является ремонт мостов в городе. В прошедшем году на средства местного бюджета выполнены работы по ремонту моста </w:t>
      </w:r>
      <w:proofErr w:type="gramStart"/>
      <w:r w:rsidRPr="00A76294">
        <w:rPr>
          <w:rFonts w:ascii="Times New Roman" w:eastAsia="Calibri" w:hAnsi="Times New Roman" w:cs="Times New Roman"/>
          <w:sz w:val="30"/>
          <w:szCs w:val="30"/>
        </w:rPr>
        <w:t>через</w:t>
      </w:r>
      <w:proofErr w:type="gramEnd"/>
      <w:r w:rsidRPr="00A76294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gramStart"/>
      <w:r w:rsidRPr="00A76294">
        <w:rPr>
          <w:rFonts w:ascii="Times New Roman" w:eastAsia="Calibri" w:hAnsi="Times New Roman" w:cs="Times New Roman"/>
          <w:sz w:val="30"/>
          <w:szCs w:val="30"/>
        </w:rPr>
        <w:t>Введенский</w:t>
      </w:r>
      <w:proofErr w:type="gramEnd"/>
      <w:r w:rsidRPr="00A76294">
        <w:rPr>
          <w:rFonts w:ascii="Times New Roman" w:eastAsia="Calibri" w:hAnsi="Times New Roman" w:cs="Times New Roman"/>
          <w:sz w:val="30"/>
          <w:szCs w:val="30"/>
        </w:rPr>
        <w:t xml:space="preserve"> ручей по ул. Советской на сумму 22 млн. руб. Размыв конуса насыпи устоев привел к образованию в 2017 году провалов</w:t>
      </w:r>
      <w:r w:rsidRPr="00A762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6294">
        <w:rPr>
          <w:rFonts w:ascii="Times New Roman" w:eastAsia="Calibri" w:hAnsi="Times New Roman" w:cs="Times New Roman"/>
          <w:sz w:val="30"/>
          <w:szCs w:val="30"/>
        </w:rPr>
        <w:t>грунта на подходах к мосту, создав угрозу его дальнейшей эксплуатации. После ремонта еще одна переправа в городе на долгие годы стала безопасной</w:t>
      </w:r>
      <w:r w:rsidR="009A58C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9A58C6" w:rsidRPr="009A58C6" w:rsidRDefault="009A58C6" w:rsidP="009A5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</w:pPr>
      <w:r w:rsidRPr="009A58C6">
        <w:rPr>
          <w:rFonts w:ascii="Times New Roman" w:eastAsia="Calibri" w:hAnsi="Times New Roman" w:cs="Times New Roman"/>
          <w:b/>
          <w:color w:val="000000"/>
          <w:sz w:val="30"/>
          <w:szCs w:val="30"/>
          <w:lang w:eastAsia="ru-RU"/>
        </w:rPr>
        <w:t>Благоустройство</w:t>
      </w:r>
    </w:p>
    <w:p w:rsidR="009A58C6" w:rsidRPr="009A58C6" w:rsidRDefault="009A58C6" w:rsidP="009A5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</w:pPr>
      <w:r w:rsidRPr="009A58C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>Тихвин с 2017 года является активным участником национального проекта «Формирование комфортной городской среды». Особенностью проекта является непосредственное участие жителей в выборе общественной территории для благоустройства.</w:t>
      </w:r>
    </w:p>
    <w:p w:rsidR="009A58C6" w:rsidRPr="009A58C6" w:rsidRDefault="009A58C6" w:rsidP="009A5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A58C6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За прошедшие годы обустроены территории: </w:t>
      </w:r>
      <w:r w:rsidRPr="009A58C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привокзального сквера, дворовые территории 1а, 5, и 7 микрорайонов, левого берега реки </w:t>
      </w:r>
      <w:proofErr w:type="spellStart"/>
      <w:r w:rsidRPr="009A58C6">
        <w:rPr>
          <w:rFonts w:ascii="Times New Roman" w:eastAsia="Calibri" w:hAnsi="Times New Roman" w:cs="Times New Roman"/>
          <w:sz w:val="30"/>
          <w:szCs w:val="30"/>
          <w:lang w:eastAsia="ru-RU"/>
        </w:rPr>
        <w:t>Тихвинки</w:t>
      </w:r>
      <w:proofErr w:type="spellEnd"/>
      <w:r w:rsidRPr="009A58C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(Парк поколений 1 и 2 этапы). А в этом году выполнены работы по благоустройству территории между 50 и 37 домами 1-го микрорайона, общей площадью 12000 м</w:t>
      </w:r>
      <w:proofErr w:type="gramStart"/>
      <w:r w:rsidRPr="009A58C6">
        <w:rPr>
          <w:rFonts w:ascii="Times New Roman" w:eastAsia="Calibri" w:hAnsi="Times New Roman" w:cs="Times New Roman"/>
          <w:sz w:val="30"/>
          <w:szCs w:val="30"/>
          <w:vertAlign w:val="superscript"/>
          <w:lang w:eastAsia="ru-RU"/>
        </w:rPr>
        <w:t>2</w:t>
      </w:r>
      <w:proofErr w:type="gramEnd"/>
      <w:r w:rsidRPr="009A58C6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на сумму более 31 млн. рублей. В результате появился сквер с фонтаном, детской площадкой, пешеходными дорожками и зонами отдыха. </w:t>
      </w:r>
    </w:p>
    <w:p w:rsidR="009A58C6" w:rsidRPr="009A58C6" w:rsidRDefault="009A58C6" w:rsidP="009A58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A58C6">
        <w:rPr>
          <w:rFonts w:ascii="Times New Roman" w:eastAsia="Calibri" w:hAnsi="Times New Roman" w:cs="Times New Roman"/>
          <w:sz w:val="30"/>
          <w:szCs w:val="30"/>
        </w:rPr>
        <w:t xml:space="preserve">В рамках подготовки к празднованию 75-летия Победы в Великой Отечественной войне за счет местного бюджета выполнен ремонт памятных мест: </w:t>
      </w:r>
    </w:p>
    <w:p w:rsidR="009A58C6" w:rsidRPr="009A58C6" w:rsidRDefault="009A58C6" w:rsidP="009A58C6">
      <w:pPr>
        <w:spacing w:after="0" w:line="240" w:lineRule="auto"/>
        <w:jc w:val="both"/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</w:pPr>
      <w:r w:rsidRPr="009A58C6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 xml:space="preserve">павшим героям «Звезда», в сквере на площади Свободы; памятник советским воинам, освободившим в декабре 1941 г. г. Тихвин от немецко-фашистских захватчиков, в сквере у </w:t>
      </w:r>
      <w:proofErr w:type="spellStart"/>
      <w:r w:rsidRPr="009A58C6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Спасо</w:t>
      </w:r>
      <w:proofErr w:type="spellEnd"/>
      <w:r w:rsidRPr="009A58C6">
        <w:rPr>
          <w:rFonts w:ascii="Times New Roman" w:eastAsia="Calibri" w:hAnsi="Times New Roman" w:cs="Times New Roman"/>
          <w:color w:val="212529"/>
          <w:sz w:val="28"/>
          <w:szCs w:val="28"/>
          <w:shd w:val="clear" w:color="auto" w:fill="FFFFFF"/>
        </w:rPr>
        <w:t>-Преображенского собора.</w:t>
      </w:r>
    </w:p>
    <w:p w:rsidR="000F618E" w:rsidRPr="000F618E" w:rsidRDefault="000F618E" w:rsidP="000F6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618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Уличное освещение. </w:t>
      </w:r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>С целью обеспечения безопасности дорожного движения разработан и реализуется план мероприятий на 2020-2024 годы.</w:t>
      </w:r>
    </w:p>
    <w:p w:rsidR="000F618E" w:rsidRPr="000F618E" w:rsidRDefault="000F618E" w:rsidP="000F6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>В рамках этого плана в прошедшем году:</w:t>
      </w:r>
    </w:p>
    <w:p w:rsidR="000F618E" w:rsidRPr="000F618E" w:rsidRDefault="000F618E" w:rsidP="000F6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- реализован первый этап устройства освещения въезда в город по ул. Карла Маркса со стороны Бокситогорска. Построена линия уличного освещения по ул. </w:t>
      </w:r>
      <w:proofErr w:type="spellStart"/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>Николо-Беседная</w:t>
      </w:r>
      <w:proofErr w:type="spellEnd"/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до ветеринарной станции и от ул. </w:t>
      </w:r>
      <w:proofErr w:type="spellStart"/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>Николо-Беседная</w:t>
      </w:r>
      <w:proofErr w:type="spellEnd"/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по ул. </w:t>
      </w:r>
      <w:proofErr w:type="spellStart"/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>К.Маркса</w:t>
      </w:r>
      <w:proofErr w:type="spellEnd"/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до дома 82;</w:t>
      </w:r>
    </w:p>
    <w:p w:rsidR="000F618E" w:rsidRPr="000F618E" w:rsidRDefault="000F618E" w:rsidP="000F6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lastRenderedPageBreak/>
        <w:t>- выполнены проектные работы по устройству дополнительного освещения 22 пешеходных переходов;</w:t>
      </w:r>
    </w:p>
    <w:p w:rsidR="000F618E" w:rsidRPr="000F618E" w:rsidRDefault="000F618E" w:rsidP="000F6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>- проводились работы по устройству дополнительного освещения дворовых территорий по обращению жителей, старост;</w:t>
      </w:r>
    </w:p>
    <w:p w:rsidR="000F618E" w:rsidRPr="000F618E" w:rsidRDefault="000F618E" w:rsidP="000F61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0F618E">
        <w:rPr>
          <w:rFonts w:ascii="Times New Roman" w:eastAsia="Calibri" w:hAnsi="Times New Roman" w:cs="Times New Roman"/>
          <w:sz w:val="30"/>
          <w:szCs w:val="30"/>
          <w:lang w:eastAsia="ru-RU"/>
        </w:rPr>
        <w:t>- заменено 650 вышедших из строя светильников.</w:t>
      </w:r>
    </w:p>
    <w:p w:rsidR="00E77314" w:rsidRPr="00E77314" w:rsidRDefault="00E77314" w:rsidP="00E77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7314">
        <w:rPr>
          <w:rFonts w:ascii="Times New Roman" w:eastAsia="Calibri" w:hAnsi="Times New Roman" w:cs="Times New Roman"/>
          <w:sz w:val="30"/>
          <w:szCs w:val="30"/>
        </w:rPr>
        <w:t xml:space="preserve">В рамках </w:t>
      </w:r>
      <w:r w:rsidRPr="00E77314">
        <w:rPr>
          <w:rFonts w:ascii="Times New Roman" w:eastAsia="Calibri" w:hAnsi="Times New Roman" w:cs="Times New Roman"/>
          <w:b/>
          <w:sz w:val="30"/>
          <w:szCs w:val="30"/>
        </w:rPr>
        <w:t>национального проекта «Образование»</w:t>
      </w:r>
      <w:r w:rsidRPr="00E77314">
        <w:rPr>
          <w:rFonts w:ascii="Times New Roman" w:eastAsia="Calibri" w:hAnsi="Times New Roman" w:cs="Times New Roman"/>
          <w:sz w:val="30"/>
          <w:szCs w:val="30"/>
        </w:rPr>
        <w:t xml:space="preserve"> в трех школах Тихвина начато внедрение целевой модели Цифровой образовательной среды, позволяющей создать условия для развития </w:t>
      </w:r>
      <w:proofErr w:type="spellStart"/>
      <w:r w:rsidRPr="00E77314">
        <w:rPr>
          <w:rFonts w:ascii="Times New Roman" w:eastAsia="Calibri" w:hAnsi="Times New Roman" w:cs="Times New Roman"/>
          <w:sz w:val="30"/>
          <w:szCs w:val="30"/>
        </w:rPr>
        <w:t>цифровизации</w:t>
      </w:r>
      <w:proofErr w:type="spellEnd"/>
      <w:r w:rsidRPr="00E77314">
        <w:rPr>
          <w:rFonts w:ascii="Times New Roman" w:eastAsia="Calibri" w:hAnsi="Times New Roman" w:cs="Times New Roman"/>
          <w:sz w:val="30"/>
          <w:szCs w:val="30"/>
        </w:rPr>
        <w:t xml:space="preserve"> образовательного процесса.</w:t>
      </w:r>
    </w:p>
    <w:p w:rsidR="00E77314" w:rsidRPr="00E77314" w:rsidRDefault="00E77314" w:rsidP="00E77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E77314">
        <w:rPr>
          <w:rFonts w:ascii="Times New Roman" w:eastAsia="Calibri" w:hAnsi="Times New Roman" w:cs="Times New Roman"/>
          <w:sz w:val="30"/>
          <w:szCs w:val="30"/>
        </w:rPr>
        <w:t>По этому</w:t>
      </w:r>
      <w:proofErr w:type="gramEnd"/>
      <w:r w:rsidRPr="00E77314">
        <w:rPr>
          <w:rFonts w:ascii="Times New Roman" w:eastAsia="Calibri" w:hAnsi="Times New Roman" w:cs="Times New Roman"/>
          <w:sz w:val="30"/>
          <w:szCs w:val="30"/>
        </w:rPr>
        <w:t xml:space="preserve"> же проекту началось апробирование модели персонифицированного финансирования дополнительного образования детей на базе Тихвинского центра детского творчества. Эта модель строится на выдаче сертификатов финансирования и позволяет детям выбрать конкретную программу дополнительного образования, отвечающую его запросам.</w:t>
      </w:r>
    </w:p>
    <w:p w:rsidR="00E77314" w:rsidRPr="00E77314" w:rsidRDefault="00E77314" w:rsidP="00E77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7314">
        <w:rPr>
          <w:rFonts w:ascii="Times New Roman" w:eastAsia="Calibri" w:hAnsi="Times New Roman" w:cs="Times New Roman"/>
          <w:sz w:val="30"/>
          <w:szCs w:val="30"/>
        </w:rPr>
        <w:t xml:space="preserve">Большое значение для сохранения и укрепления здоровья детей и подростков имеет организация летнего отдыха и занятости. </w:t>
      </w:r>
    </w:p>
    <w:p w:rsidR="00E77314" w:rsidRPr="00E77314" w:rsidRDefault="00E77314" w:rsidP="00E7731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7314">
        <w:rPr>
          <w:rFonts w:ascii="Times New Roman" w:eastAsia="Calibri" w:hAnsi="Times New Roman" w:cs="Times New Roman"/>
          <w:sz w:val="30"/>
          <w:szCs w:val="30"/>
        </w:rPr>
        <w:t xml:space="preserve">В 2020 году в условиях сохранения рисков распространения новой </w:t>
      </w:r>
      <w:proofErr w:type="spellStart"/>
      <w:r w:rsidRPr="00E77314">
        <w:rPr>
          <w:rFonts w:ascii="Times New Roman" w:eastAsia="Calibri" w:hAnsi="Times New Roman" w:cs="Times New Roman"/>
          <w:sz w:val="30"/>
          <w:szCs w:val="30"/>
        </w:rPr>
        <w:t>коронавирусной</w:t>
      </w:r>
      <w:proofErr w:type="spellEnd"/>
      <w:r w:rsidRPr="00E77314">
        <w:rPr>
          <w:rFonts w:ascii="Times New Roman" w:eastAsia="Calibri" w:hAnsi="Times New Roman" w:cs="Times New Roman"/>
          <w:sz w:val="30"/>
          <w:szCs w:val="30"/>
        </w:rPr>
        <w:t xml:space="preserve"> инфекции COVID–19 летняя оздоровительная кампания проводилась в урезанном виде и строилась с учетом требований </w:t>
      </w:r>
      <w:proofErr w:type="spellStart"/>
      <w:r w:rsidRPr="00E77314">
        <w:rPr>
          <w:rFonts w:ascii="Times New Roman" w:eastAsia="Calibri" w:hAnsi="Times New Roman" w:cs="Times New Roman"/>
          <w:sz w:val="30"/>
          <w:szCs w:val="30"/>
        </w:rPr>
        <w:t>Роспотребнадзора</w:t>
      </w:r>
      <w:proofErr w:type="spellEnd"/>
      <w:r w:rsidRPr="00E77314">
        <w:rPr>
          <w:rFonts w:ascii="Times New Roman" w:eastAsia="Calibri" w:hAnsi="Times New Roman" w:cs="Times New Roman"/>
          <w:sz w:val="30"/>
          <w:szCs w:val="30"/>
        </w:rPr>
        <w:t>. Работал только загородный лагерь «Огонек», который принял на отдых всего 288 детей за две смены, из них: 108 детей из семей, находящихся в трудной ситуации, включая детей с ОВЗ, при том, что в области работало всего 9 загородных лагерей.</w:t>
      </w:r>
    </w:p>
    <w:p w:rsidR="00E77314" w:rsidRPr="00E77314" w:rsidRDefault="00E77314" w:rsidP="00E7731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77314">
        <w:rPr>
          <w:rFonts w:ascii="Times New Roman" w:eastAsia="Calibri" w:hAnsi="Times New Roman" w:cs="Times New Roman"/>
          <w:sz w:val="30"/>
          <w:szCs w:val="30"/>
        </w:rPr>
        <w:t>Дневные лагеря на базе школ не открывались.</w:t>
      </w:r>
    </w:p>
    <w:p w:rsidR="00C20422" w:rsidRPr="00C20422" w:rsidRDefault="00C20422" w:rsidP="00C204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20422">
        <w:rPr>
          <w:rFonts w:ascii="Times New Roman" w:eastAsia="Calibri" w:hAnsi="Times New Roman" w:cs="Times New Roman"/>
          <w:sz w:val="30"/>
          <w:szCs w:val="30"/>
        </w:rPr>
        <w:t>Благодаря областной программе «Современное образование», нам удалось за несколько лет отремонтировать все пришкольные стадионы в городе. В 2020 году обновились стадионы школ №1 и №4.</w:t>
      </w:r>
    </w:p>
    <w:p w:rsidR="008060FA" w:rsidRPr="008060FA" w:rsidRDefault="008060FA" w:rsidP="0080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060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Самым важным событием стало открытие после реновации школы №5. </w:t>
      </w:r>
      <w:r w:rsidRPr="008060FA">
        <w:rPr>
          <w:rFonts w:ascii="Times New Roman" w:eastAsia="Calibri" w:hAnsi="Times New Roman" w:cs="Times New Roman"/>
          <w:sz w:val="30"/>
          <w:szCs w:val="30"/>
        </w:rPr>
        <w:t>1 сентября свой 55 летний юбилей школа встретила в полностью обновленном здании, с учебными кабинетами, оснащенными новейшим оборудованием.</w:t>
      </w:r>
    </w:p>
    <w:p w:rsidR="008060FA" w:rsidRPr="008060FA" w:rsidRDefault="008060FA" w:rsidP="008060FA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060FA">
        <w:rPr>
          <w:rFonts w:ascii="Times New Roman" w:eastAsia="Calibri" w:hAnsi="Times New Roman" w:cs="Times New Roman"/>
          <w:sz w:val="30"/>
          <w:szCs w:val="30"/>
        </w:rPr>
        <w:t xml:space="preserve">Такой большой объем работ общей стоимостью более 130 миллионов рублей в рамках областной программы был проведен в рекордно короткие, менее года, сроки. </w:t>
      </w:r>
    </w:p>
    <w:p w:rsidR="008060FA" w:rsidRPr="008060FA" w:rsidRDefault="008060FA" w:rsidP="008060F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060FA">
        <w:rPr>
          <w:rFonts w:ascii="Times New Roman" w:eastAsia="Calibri" w:hAnsi="Times New Roman" w:cs="Times New Roman"/>
          <w:sz w:val="30"/>
          <w:szCs w:val="30"/>
        </w:rPr>
        <w:t>В наступившем году за счет средств местного бюджета выполним благоустройство прилегающей к школе территории.</w:t>
      </w:r>
    </w:p>
    <w:p w:rsidR="008060FA" w:rsidRPr="008060FA" w:rsidRDefault="008060FA" w:rsidP="008060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060FA">
        <w:rPr>
          <w:rFonts w:ascii="Times New Roman" w:eastAsia="Calibri" w:hAnsi="Times New Roman" w:cs="Times New Roman"/>
          <w:sz w:val="30"/>
          <w:szCs w:val="30"/>
        </w:rPr>
        <w:t xml:space="preserve">Нашей большой надеждой является строительство новой школы на 600 мест в 1а микрорайоне в ближайшем будущем. Заявка на ее строительство прошла необходимые согласования в комитете образования и в комитете по экономическому развитию Ленинградской </w:t>
      </w:r>
      <w:r w:rsidRPr="008060FA">
        <w:rPr>
          <w:rFonts w:ascii="Times New Roman" w:eastAsia="Calibri" w:hAnsi="Times New Roman" w:cs="Times New Roman"/>
          <w:sz w:val="30"/>
          <w:szCs w:val="30"/>
        </w:rPr>
        <w:lastRenderedPageBreak/>
        <w:t>области. В Правительство области также подана заявка на строительство детского сада.</w:t>
      </w:r>
    </w:p>
    <w:p w:rsidR="009A58C6" w:rsidRDefault="009A58C6" w:rsidP="00A76294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FB6952" w:rsidRPr="00FB6952" w:rsidRDefault="00FB6952" w:rsidP="00FB695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6952">
        <w:rPr>
          <w:rFonts w:ascii="Times New Roman" w:eastAsia="Calibri" w:hAnsi="Times New Roman" w:cs="Times New Roman"/>
          <w:sz w:val="30"/>
          <w:szCs w:val="30"/>
        </w:rPr>
        <w:t xml:space="preserve">В 2020 году в связи с </w:t>
      </w:r>
      <w:r w:rsidRPr="00FB695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распространением новой </w:t>
      </w:r>
      <w:proofErr w:type="spellStart"/>
      <w:r w:rsidRPr="00FB6952">
        <w:rPr>
          <w:rFonts w:ascii="Times New Roman" w:eastAsia="Calibri" w:hAnsi="Times New Roman" w:cs="Times New Roman"/>
          <w:color w:val="000000"/>
          <w:sz w:val="30"/>
          <w:szCs w:val="30"/>
        </w:rPr>
        <w:t>коронавирусной</w:t>
      </w:r>
      <w:proofErr w:type="spellEnd"/>
      <w:r w:rsidRPr="00FB6952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инфекции (</w:t>
      </w:r>
      <w:r w:rsidRPr="00FB6952">
        <w:rPr>
          <w:rFonts w:ascii="Times New Roman" w:eastAsia="Calibri" w:hAnsi="Times New Roman" w:cs="Times New Roman"/>
          <w:color w:val="000000"/>
          <w:sz w:val="30"/>
          <w:szCs w:val="30"/>
          <w:lang w:val="en-US"/>
        </w:rPr>
        <w:t>COVID</w:t>
      </w:r>
      <w:r w:rsidRPr="00FB6952">
        <w:rPr>
          <w:rFonts w:ascii="Times New Roman" w:eastAsia="Calibri" w:hAnsi="Times New Roman" w:cs="Times New Roman"/>
          <w:color w:val="000000"/>
          <w:sz w:val="30"/>
          <w:szCs w:val="30"/>
        </w:rPr>
        <w:t>-19)</w:t>
      </w:r>
      <w:r w:rsidRPr="00FB6952">
        <w:rPr>
          <w:rFonts w:ascii="Calibri" w:eastAsia="Calibri" w:hAnsi="Calibri" w:cs="Times New Roman"/>
          <w:sz w:val="30"/>
          <w:szCs w:val="30"/>
        </w:rPr>
        <w:t xml:space="preserve"> </w:t>
      </w:r>
      <w:r w:rsidRPr="00FB6952">
        <w:rPr>
          <w:rFonts w:ascii="Times New Roman" w:eastAsia="Calibri" w:hAnsi="Times New Roman" w:cs="Times New Roman"/>
          <w:sz w:val="30"/>
          <w:szCs w:val="30"/>
        </w:rPr>
        <w:t xml:space="preserve">были введены ограничения, касающиеся количества посетителей культурно-просветительских мероприятий и библиотек. При этом общее количество этих мероприятий не уменьшилось за счет организации онлайн-мероприятий. </w:t>
      </w:r>
    </w:p>
    <w:p w:rsidR="00FB6952" w:rsidRPr="00FB6952" w:rsidRDefault="00FB6952" w:rsidP="00FB69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9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этой причине в режиме </w:t>
      </w:r>
      <w:proofErr w:type="spellStart"/>
      <w:r w:rsidRPr="00FB6952">
        <w:rPr>
          <w:rFonts w:ascii="Times New Roman" w:eastAsia="Times New Roman" w:hAnsi="Times New Roman" w:cs="Times New Roman"/>
          <w:sz w:val="30"/>
          <w:szCs w:val="30"/>
          <w:lang w:eastAsia="ru-RU"/>
        </w:rPr>
        <w:t>офф-лайн</w:t>
      </w:r>
      <w:proofErr w:type="spellEnd"/>
      <w:r w:rsidRPr="00FB695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с учетом действующих ограничений, были проведены только некоторые из традиционных крупномасштабных культурных проектов: </w:t>
      </w:r>
    </w:p>
    <w:p w:rsidR="00FB6952" w:rsidRPr="00FB6952" w:rsidRDefault="00FB6952" w:rsidP="00FB695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6952">
        <w:rPr>
          <w:rFonts w:ascii="Times New Roman" w:eastAsia="Calibri" w:hAnsi="Times New Roman" w:cs="Times New Roman"/>
          <w:sz w:val="30"/>
          <w:szCs w:val="30"/>
        </w:rPr>
        <w:t>- Международный оперный фестиваль им. Н.А. Римского-Корсакова;</w:t>
      </w:r>
    </w:p>
    <w:p w:rsidR="00FB6952" w:rsidRPr="00FB6952" w:rsidRDefault="00FB6952" w:rsidP="00FB6952">
      <w:pPr>
        <w:shd w:val="clear" w:color="auto" w:fill="FFFFFF"/>
        <w:tabs>
          <w:tab w:val="left" w:pos="226"/>
        </w:tabs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6952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FB6952">
        <w:rPr>
          <w:rFonts w:ascii="Times New Roman" w:eastAsia="Calibri" w:hAnsi="Times New Roman" w:cs="Times New Roman"/>
          <w:sz w:val="30"/>
          <w:szCs w:val="30"/>
          <w:lang w:val="en-US"/>
        </w:rPr>
        <w:t>VII</w:t>
      </w:r>
      <w:r w:rsidRPr="00FB6952">
        <w:rPr>
          <w:rFonts w:ascii="Times New Roman" w:eastAsia="Calibri" w:hAnsi="Times New Roman" w:cs="Times New Roman"/>
          <w:sz w:val="30"/>
          <w:szCs w:val="30"/>
        </w:rPr>
        <w:t xml:space="preserve"> Межрегиональный этнокультурный фестиваль Ленинградской области «Россия - созвучие культур», посвященный празднованию 75-летия Победы в Великой Отечественной войне; </w:t>
      </w:r>
    </w:p>
    <w:p w:rsidR="00FB6952" w:rsidRPr="00FB6952" w:rsidRDefault="00FB6952" w:rsidP="00FB69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952">
        <w:rPr>
          <w:rFonts w:ascii="Times New Roman" w:eastAsia="Calibri" w:hAnsi="Times New Roman" w:cs="Times New Roman"/>
          <w:sz w:val="30"/>
          <w:szCs w:val="30"/>
        </w:rPr>
        <w:t>- X</w:t>
      </w:r>
      <w:r w:rsidRPr="00FB6952">
        <w:rPr>
          <w:rFonts w:ascii="Times New Roman" w:eastAsia="Calibri" w:hAnsi="Times New Roman" w:cs="Times New Roman"/>
          <w:sz w:val="30"/>
          <w:szCs w:val="30"/>
          <w:lang w:val="en-US"/>
        </w:rPr>
        <w:t>XI</w:t>
      </w:r>
      <w:r w:rsidRPr="00FB6952">
        <w:rPr>
          <w:rFonts w:ascii="Times New Roman" w:eastAsia="Calibri" w:hAnsi="Times New Roman" w:cs="Times New Roman"/>
          <w:sz w:val="30"/>
          <w:szCs w:val="30"/>
        </w:rPr>
        <w:t xml:space="preserve"> Открытый фестиваль духовой и джазовой музыки «Сентябрь в Тихвине»;</w:t>
      </w:r>
    </w:p>
    <w:p w:rsidR="00FB6952" w:rsidRPr="00FB6952" w:rsidRDefault="00FB6952" w:rsidP="00FB6952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B695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 </w:t>
      </w:r>
      <w:r w:rsidRPr="00FB6952">
        <w:rPr>
          <w:rFonts w:ascii="Times New Roman" w:eastAsia="Calibri" w:hAnsi="Times New Roman" w:cs="Times New Roman"/>
          <w:sz w:val="30"/>
          <w:szCs w:val="30"/>
        </w:rPr>
        <w:t>Первый Международный кинофестиваль «Под Покровом Божией Матери «Тихвинская»</w:t>
      </w:r>
      <w:r w:rsidRPr="00FB695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B6952" w:rsidRPr="00FB6952" w:rsidRDefault="00FB6952" w:rsidP="00FB6952">
      <w:pPr>
        <w:shd w:val="clear" w:color="auto" w:fill="FFFFFF"/>
        <w:tabs>
          <w:tab w:val="left" w:pos="226"/>
        </w:tabs>
        <w:spacing w:after="0" w:line="240" w:lineRule="auto"/>
        <w:ind w:firstLine="73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6952">
        <w:rPr>
          <w:rFonts w:ascii="Times New Roman" w:eastAsia="Calibri" w:hAnsi="Times New Roman" w:cs="Times New Roman"/>
          <w:sz w:val="30"/>
          <w:szCs w:val="30"/>
        </w:rPr>
        <w:t>В 2020 году учреждения культуры района стали победителями ежегодного областного конкурса профессионального мастерства «Звезда культуры»</w:t>
      </w:r>
      <w:r w:rsidRPr="00FB6952">
        <w:rPr>
          <w:rFonts w:ascii="Calibri" w:eastAsia="Calibri" w:hAnsi="Calibri" w:cs="Times New Roman"/>
        </w:rPr>
        <w:t xml:space="preserve"> </w:t>
      </w:r>
      <w:r w:rsidRPr="00FB6952">
        <w:rPr>
          <w:rFonts w:ascii="Times New Roman" w:eastAsia="Calibri" w:hAnsi="Times New Roman" w:cs="Times New Roman"/>
          <w:sz w:val="30"/>
          <w:szCs w:val="30"/>
        </w:rPr>
        <w:t>национального проекта «Культура».</w:t>
      </w:r>
    </w:p>
    <w:p w:rsidR="00FB6952" w:rsidRPr="00FB6952" w:rsidRDefault="00FB6952" w:rsidP="00FB6952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B6952">
        <w:rPr>
          <w:rFonts w:ascii="Times New Roman" w:eastAsia="Calibri" w:hAnsi="Times New Roman" w:cs="Times New Roman"/>
          <w:sz w:val="30"/>
          <w:szCs w:val="30"/>
        </w:rPr>
        <w:t>В номинации «Лучший народный коллектив самодеятельного художественного творчества года» победил народный самодеятельный коллектив - ансамбль ручных колокольчиков «Перезвоны» Детской школы искусств им. Н.А. Римского-Корсакова.</w:t>
      </w:r>
    </w:p>
    <w:p w:rsidR="00ED0806" w:rsidRPr="00ED0806" w:rsidRDefault="00ED0806" w:rsidP="00ED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08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Федерального проекта «Культурная среда» национального проекта «Культура» модернизирована Центральная детская библиотека. Она получила и новое название «Библиотека имени тебя». На грант в 5 миллионов рублей приобретены мебель, книги, оборудование, выполнен ремонт внутри и снаружи помещения, прошли обучение сотрудники. На 3,6 млн. рублей из местного бюджета </w:t>
      </w:r>
      <w:proofErr w:type="gramStart"/>
      <w:r w:rsidRPr="00ED0806">
        <w:rPr>
          <w:rFonts w:ascii="Times New Roman" w:eastAsia="Times New Roman" w:hAnsi="Times New Roman" w:cs="Times New Roman"/>
          <w:sz w:val="30"/>
          <w:szCs w:val="30"/>
          <w:lang w:eastAsia="ru-RU"/>
        </w:rPr>
        <w:t>обновлены</w:t>
      </w:r>
      <w:proofErr w:type="gramEnd"/>
      <w:r w:rsidRPr="00ED080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фасад, крыльцо, установлена система видеонаблюдения.  </w:t>
      </w:r>
    </w:p>
    <w:p w:rsidR="00ED0806" w:rsidRPr="00ED0806" w:rsidRDefault="00ED0806" w:rsidP="00ED0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0806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следующий год, единственная в области, выиграла грант по этому проекту наша библиотека ТЭФФИ.</w:t>
      </w:r>
    </w:p>
    <w:p w:rsidR="00FE7C98" w:rsidRPr="00FE7C98" w:rsidRDefault="00FE7C98" w:rsidP="00FE7C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Активное участие в физкультурно-спортивном движении принимают общественные организации: федерации по видам спорта, спортивные клубы, советы ветеранов войны и труда, первичные организации ВОИ, а также промышленные предприятия, учреждения образования, школьные спортивные клубы. </w:t>
      </w:r>
    </w:p>
    <w:p w:rsidR="00FE7C98" w:rsidRPr="00FE7C98" w:rsidRDefault="00FE7C98" w:rsidP="00FE7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7C98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Удалось сделать немало и по развитию спортивной инфраструктуры.  </w:t>
      </w:r>
    </w:p>
    <w:p w:rsidR="00FE7C98" w:rsidRPr="00FE7C98" w:rsidRDefault="00FE7C98" w:rsidP="00FE7C9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7C98">
        <w:rPr>
          <w:rFonts w:ascii="Times New Roman" w:eastAsia="Calibri" w:hAnsi="Times New Roman" w:cs="Times New Roman"/>
          <w:sz w:val="30"/>
          <w:szCs w:val="30"/>
        </w:rPr>
        <w:t xml:space="preserve">Самым ожидаемым событием в этой сфере стало завершение капитального ремонта футбольного поля с полной заменой покрытия, которое теперь отвечает самым строгим современным требованиям, а установленная на стадионе </w:t>
      </w:r>
      <w:proofErr w:type="spellStart"/>
      <w:r w:rsidRPr="00FE7C98">
        <w:rPr>
          <w:rFonts w:ascii="Times New Roman" w:eastAsia="Calibri" w:hAnsi="Times New Roman" w:cs="Times New Roman"/>
          <w:sz w:val="30"/>
          <w:szCs w:val="30"/>
        </w:rPr>
        <w:t>воздухоопорная</w:t>
      </w:r>
      <w:proofErr w:type="spellEnd"/>
      <w:r w:rsidRPr="00FE7C98">
        <w:rPr>
          <w:rFonts w:ascii="Times New Roman" w:eastAsia="Calibri" w:hAnsi="Times New Roman" w:cs="Times New Roman"/>
          <w:sz w:val="30"/>
          <w:szCs w:val="30"/>
        </w:rPr>
        <w:t xml:space="preserve"> конструкция позволяет футболистам зимой заниматься в комфортных условиях. Общая стоимость реализованного проекта составила 33 миллиона </w:t>
      </w:r>
      <w:proofErr w:type="gramStart"/>
      <w:r w:rsidRPr="00FE7C98">
        <w:rPr>
          <w:rFonts w:ascii="Times New Roman" w:eastAsia="Calibri" w:hAnsi="Times New Roman" w:cs="Times New Roman"/>
          <w:sz w:val="30"/>
          <w:szCs w:val="30"/>
        </w:rPr>
        <w:t>рублей</w:t>
      </w:r>
      <w:proofErr w:type="gramEnd"/>
      <w:r w:rsidRPr="00FE7C98">
        <w:rPr>
          <w:rFonts w:ascii="Times New Roman" w:eastAsia="Calibri" w:hAnsi="Times New Roman" w:cs="Times New Roman"/>
          <w:sz w:val="30"/>
          <w:szCs w:val="30"/>
        </w:rPr>
        <w:t xml:space="preserve"> из которых 30 профинансированы областью.</w:t>
      </w:r>
    </w:p>
    <w:p w:rsidR="00FE7C98" w:rsidRPr="00FE7C98" w:rsidRDefault="00FE7C98" w:rsidP="00FE7C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C98">
        <w:rPr>
          <w:rFonts w:ascii="Times New Roman" w:eastAsia="Calibri" w:hAnsi="Times New Roman" w:cs="Times New Roman"/>
          <w:sz w:val="30"/>
          <w:szCs w:val="30"/>
        </w:rPr>
        <w:t xml:space="preserve">В рамках программы «Развитие физкультуры и спорта в Ленинградской области» выполнено обустройство площадки ГТО возле </w:t>
      </w:r>
      <w:proofErr w:type="spellStart"/>
      <w:r w:rsidRPr="00FE7C98">
        <w:rPr>
          <w:rFonts w:ascii="Times New Roman" w:eastAsia="Calibri" w:hAnsi="Times New Roman" w:cs="Times New Roman"/>
          <w:sz w:val="30"/>
          <w:szCs w:val="30"/>
        </w:rPr>
        <w:t>биатлонно</w:t>
      </w:r>
      <w:proofErr w:type="spellEnd"/>
      <w:r w:rsidRPr="00FE7C98">
        <w:rPr>
          <w:rFonts w:ascii="Times New Roman" w:eastAsia="Calibri" w:hAnsi="Times New Roman" w:cs="Times New Roman"/>
          <w:sz w:val="30"/>
          <w:szCs w:val="30"/>
        </w:rPr>
        <w:t>-лыжного комплекса.</w:t>
      </w:r>
      <w:r w:rsidRPr="00FE7C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7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ней расположились 54 позиции спортивных тренажеров. Стоимость работ составила более 4 миллионов рублей, 3 из которых </w:t>
      </w:r>
      <w:proofErr w:type="gramStart"/>
      <w:r w:rsidRPr="00FE7C98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выделены</w:t>
      </w:r>
      <w:proofErr w:type="gramEnd"/>
      <w:r w:rsidRPr="00FE7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 областного бюджета.</w:t>
      </w:r>
    </w:p>
    <w:p w:rsidR="00FE7C98" w:rsidRPr="00FE7C98" w:rsidRDefault="00FE7C98" w:rsidP="00FE7C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E7C98">
        <w:rPr>
          <w:rFonts w:ascii="Times New Roman" w:eastAsia="Calibri" w:hAnsi="Times New Roman" w:cs="Times New Roman"/>
          <w:sz w:val="30"/>
          <w:szCs w:val="30"/>
        </w:rPr>
        <w:t xml:space="preserve">Депутатами Законодательного собрания Ленинградской области привлечены средства из областного бюджета, за счет которых завершен капитальный ремонт городошной площадки, выполнено устройство ограждения территории </w:t>
      </w:r>
      <w:proofErr w:type="spellStart"/>
      <w:r w:rsidRPr="00FE7C98">
        <w:rPr>
          <w:rFonts w:ascii="Times New Roman" w:eastAsia="Calibri" w:hAnsi="Times New Roman" w:cs="Times New Roman"/>
          <w:sz w:val="30"/>
          <w:szCs w:val="30"/>
        </w:rPr>
        <w:t>биатлонно</w:t>
      </w:r>
      <w:proofErr w:type="spellEnd"/>
      <w:r w:rsidRPr="00FE7C98">
        <w:rPr>
          <w:rFonts w:ascii="Times New Roman" w:eastAsia="Calibri" w:hAnsi="Times New Roman" w:cs="Times New Roman"/>
          <w:sz w:val="30"/>
          <w:szCs w:val="30"/>
        </w:rPr>
        <w:t xml:space="preserve">-лыжного комплекса. </w:t>
      </w:r>
    </w:p>
    <w:p w:rsidR="00FE7C98" w:rsidRPr="00FE7C98" w:rsidRDefault="00FE7C98" w:rsidP="00FE7C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FE7C98">
        <w:rPr>
          <w:rFonts w:ascii="Times New Roman" w:eastAsia="Times New Roman" w:hAnsi="Times New Roman" w:cs="Times New Roman"/>
          <w:sz w:val="30"/>
          <w:szCs w:val="30"/>
          <w:lang w:eastAsia="ru-RU"/>
        </w:rPr>
        <w:t>В течени</w:t>
      </w:r>
      <w:proofErr w:type="gramStart"/>
      <w:r w:rsidRPr="00FE7C98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proofErr w:type="gramEnd"/>
      <w:r w:rsidRPr="00FE7C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всего года администрацией проводилась активная работа с застройщиком физкультурно-оздоровительного комплекса, строящегося с 2016 года, с целью качественного и скорейшего выполнения работ. Ввод объект в эксплуатацию состоится в этом году.</w:t>
      </w:r>
    </w:p>
    <w:p w:rsidR="00FE7C98" w:rsidRPr="00FE7C98" w:rsidRDefault="00FE7C98" w:rsidP="00FE7C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C4FDA" w:rsidRPr="001C4FDA" w:rsidRDefault="001C4FDA" w:rsidP="001C4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C4FD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Молодёжная политика</w:t>
      </w:r>
    </w:p>
    <w:p w:rsidR="001C4FDA" w:rsidRPr="001C4FDA" w:rsidRDefault="001C4FDA" w:rsidP="001C4FD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C4FD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организацию содержательного досуга молодежи, создание условий для самореализации несовершеннолетних, вовлечение их в добровольческую деятельность, внедрение здорового образа жизни в молодежную среду, гражданско-патриотическое воспитание молодежи была нацелена работа всех структур в сфере молодежной политики района таких как: </w:t>
      </w:r>
      <w:r w:rsidRPr="001C4FD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«</w:t>
      </w:r>
      <w:proofErr w:type="spellStart"/>
      <w:r w:rsidRPr="001C4FD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>Молодёжно</w:t>
      </w:r>
      <w:proofErr w:type="spellEnd"/>
      <w:r w:rsidRPr="001C4FDA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/>
        </w:rPr>
        <w:t xml:space="preserve">-спортивный центр», Молодёжный Совет, Центр развития волонтёрского движения, </w:t>
      </w:r>
      <w:r w:rsidRPr="001C4F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Детско-молодёжная общественная организация «Старт».</w:t>
      </w:r>
    </w:p>
    <w:p w:rsidR="00462D75" w:rsidRPr="00462D75" w:rsidRDefault="00462D75" w:rsidP="00462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D75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обеспечения летнего отдыха и занятости несовершеннолетних в 2020 году в Тихвине</w:t>
      </w:r>
      <w:r w:rsidRPr="00462D75">
        <w:rPr>
          <w:rFonts w:ascii="Times New Roman" w:eastAsia="Calibri" w:hAnsi="Times New Roman" w:cs="Times New Roman"/>
          <w:sz w:val="30"/>
          <w:szCs w:val="30"/>
        </w:rPr>
        <w:t xml:space="preserve"> было временно трудоустроено в составе Губернаторского молодежного трудового отряда </w:t>
      </w:r>
      <w:r w:rsidRPr="00462D75">
        <w:rPr>
          <w:rFonts w:ascii="Times New Roman" w:eastAsia="Times New Roman" w:hAnsi="Times New Roman" w:cs="Times New Roman"/>
          <w:sz w:val="30"/>
          <w:szCs w:val="30"/>
          <w:lang w:eastAsia="ru-RU"/>
        </w:rPr>
        <w:t>45 подростков.</w:t>
      </w:r>
    </w:p>
    <w:p w:rsidR="00462D75" w:rsidRPr="00462D75" w:rsidRDefault="00462D75" w:rsidP="00462D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62D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рамках </w:t>
      </w:r>
      <w:r w:rsidRPr="00462D75">
        <w:rPr>
          <w:rFonts w:ascii="Times New Roman" w:eastAsia="Calibri" w:hAnsi="Times New Roman" w:cs="Times New Roman"/>
          <w:color w:val="000000"/>
          <w:sz w:val="30"/>
          <w:szCs w:val="30"/>
          <w:lang w:eastAsia="ru-RU"/>
        </w:rPr>
        <w:t xml:space="preserve">гранта Комитета по труду и занятости населения Ленинградской области </w:t>
      </w:r>
      <w:r w:rsidRPr="00462D75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организована трудовая бригада в составе 15 человек.</w:t>
      </w:r>
    </w:p>
    <w:p w:rsidR="00FB6952" w:rsidRPr="00A76294" w:rsidRDefault="00FB6952" w:rsidP="00A76294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70EC5" w:rsidRPr="00B70EC5" w:rsidRDefault="00B70EC5" w:rsidP="00B70EC5">
      <w:r w:rsidRPr="00B70EC5">
        <w:rPr>
          <w:rFonts w:ascii="Times New Roman" w:eastAsia="Calibri" w:hAnsi="Times New Roman" w:cs="Times New Roman"/>
          <w:color w:val="1F497D"/>
          <w:sz w:val="26"/>
          <w:szCs w:val="26"/>
        </w:rPr>
        <w:br w:type="page"/>
      </w:r>
    </w:p>
    <w:sectPr w:rsidR="00B70EC5" w:rsidRPr="00B70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EC5"/>
    <w:rsid w:val="000C4DAB"/>
    <w:rsid w:val="000F618E"/>
    <w:rsid w:val="001C4FDA"/>
    <w:rsid w:val="00462D75"/>
    <w:rsid w:val="004C48C1"/>
    <w:rsid w:val="007E7491"/>
    <w:rsid w:val="008060FA"/>
    <w:rsid w:val="009A58C6"/>
    <w:rsid w:val="00A76294"/>
    <w:rsid w:val="00B70EC5"/>
    <w:rsid w:val="00C20422"/>
    <w:rsid w:val="00D05667"/>
    <w:rsid w:val="00E77314"/>
    <w:rsid w:val="00ED0806"/>
    <w:rsid w:val="00ED1231"/>
    <w:rsid w:val="00FB6952"/>
    <w:rsid w:val="00FE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E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E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70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0E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8176760548243575E-2"/>
          <c:y val="5.4537251179765517E-2"/>
          <c:w val="0.55576597909337766"/>
          <c:h val="0.83661952060746225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588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0000FF"/>
              </a:solidFill>
              <a:ln w="1588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00FF00"/>
              </a:solidFill>
              <a:ln w="1588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 w="1588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3176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</c:v>
                </c:pt>
                <c:pt idx="1">
                  <c:v>12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 w="31763">
          <a:noFill/>
        </a:ln>
      </c:spPr>
    </c:plotArea>
    <c:legend>
      <c:legendPos val="r"/>
      <c:layout>
        <c:manualLayout>
          <c:xMode val="edge"/>
          <c:yMode val="edge"/>
          <c:x val="0.65412186379928317"/>
          <c:y val="0.13931125756988358"/>
          <c:w val="0.34229390681003585"/>
          <c:h val="0.74004117481919174"/>
        </c:manualLayout>
      </c:layout>
      <c:overlay val="0"/>
      <c:spPr>
        <a:noFill/>
        <a:ln w="31763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rgbClr val="000000"/>
      </a:solidFill>
    </a:ln>
  </c:spPr>
  <c:txPr>
    <a:bodyPr/>
    <a:lstStyle/>
    <a:p>
      <a:pPr algn="ctr"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2379300990718272E-3"/>
          <c:y val="0.19148162353631298"/>
          <c:w val="0.6641456958775197"/>
          <c:h val="0.58014484579112424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349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FFFF00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0000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00FF00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0000FF"/>
              </a:solidFill>
              <a:ln w="1349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1"/>
              <c:layout>
                <c:manualLayout>
                  <c:x val="-0.1217656012176561"/>
                  <c:y val="0.12903225806451604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3734691541719126E-2"/>
                  <c:y val="-0.13753581661891118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numFmt formatCode="0%" sourceLinked="0"/>
            <c:spPr>
              <a:noFill/>
              <a:ln w="2698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общегосударственные вопросы</c:v>
                </c:pt>
                <c:pt idx="1">
                  <c:v>ЖКХ и дорожные фонды</c:v>
                </c:pt>
                <c:pt idx="2">
                  <c:v>социальная сфера</c:v>
                </c:pt>
                <c:pt idx="3">
                  <c:v>иные расходы 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</c:v>
                </c:pt>
                <c:pt idx="1">
                  <c:v>57</c:v>
                </c:pt>
                <c:pt idx="2">
                  <c:v>36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 w="26981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</c:legendEntry>
      <c:layout>
        <c:manualLayout>
          <c:xMode val="edge"/>
          <c:yMode val="edge"/>
          <c:x val="0.66586368484761327"/>
          <c:y val="0.169502159004318"/>
          <c:w val="0.33176100628930816"/>
          <c:h val="0.53524801335316952"/>
        </c:manualLayout>
      </c:layout>
      <c:overlay val="0"/>
      <c:spPr>
        <a:noFill/>
        <a:ln w="26981">
          <a:noFill/>
        </a:ln>
      </c:spPr>
      <c:txPr>
        <a:bodyPr/>
        <a:lstStyle/>
        <a:p>
          <a:pPr>
            <a:defRPr sz="120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solidFill>
        <a:schemeClr val="tx1"/>
      </a:solidFill>
    </a:ln>
  </c:spPr>
  <c:txPr>
    <a:bodyPr/>
    <a:lstStyle/>
    <a:p>
      <a:pPr>
        <a:defRPr sz="12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1958</Words>
  <Characters>11163</Characters>
  <Application>Microsoft Office Word</Application>
  <DocSecurity>0</DocSecurity>
  <Lines>93</Lines>
  <Paragraphs>26</Paragraphs>
  <ScaleCrop>false</ScaleCrop>
  <Company/>
  <LinksUpToDate>false</LinksUpToDate>
  <CharactersWithSpaces>13095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 Ежелева</dc:creator>
  <cp:lastModifiedBy>Любовь Александровна Ежелева</cp:lastModifiedBy>
  <cp:revision>19</cp:revision>
  <dcterms:created xsi:type="dcterms:W3CDTF">2021-03-22T11:35:00Z</dcterms:created>
  <dcterms:modified xsi:type="dcterms:W3CDTF">2021-03-22T12:22:00Z</dcterms:modified>
</cp:coreProperties>
</file>