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9F" w:rsidRDefault="006E289F" w:rsidP="006E289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289F" w:rsidRDefault="006E289F" w:rsidP="006E289F">
      <w:pPr>
        <w:pStyle w:val="ConsPlusNormal"/>
        <w:jc w:val="both"/>
        <w:outlineLvl w:val="0"/>
      </w:pPr>
    </w:p>
    <w:p w:rsidR="006E289F" w:rsidRDefault="006E289F" w:rsidP="006E28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289F" w:rsidRDefault="006E289F" w:rsidP="006E289F">
      <w:pPr>
        <w:pStyle w:val="ConsPlusTitle"/>
        <w:jc w:val="both"/>
      </w:pPr>
    </w:p>
    <w:p w:rsidR="006E289F" w:rsidRDefault="006E289F" w:rsidP="006E289F">
      <w:pPr>
        <w:pStyle w:val="ConsPlusTitle"/>
        <w:jc w:val="center"/>
      </w:pPr>
      <w:r>
        <w:t>ПОСТАНОВЛЕНИЕ</w:t>
      </w:r>
    </w:p>
    <w:p w:rsidR="006E289F" w:rsidRDefault="006E289F" w:rsidP="006E289F">
      <w:pPr>
        <w:pStyle w:val="ConsPlusTitle"/>
        <w:jc w:val="center"/>
      </w:pPr>
      <w:r>
        <w:t>от 28 октября 2017 г. N 1312</w:t>
      </w:r>
    </w:p>
    <w:p w:rsidR="006E289F" w:rsidRDefault="006E289F" w:rsidP="006E289F">
      <w:pPr>
        <w:pStyle w:val="ConsPlusTitle"/>
        <w:jc w:val="both"/>
      </w:pPr>
    </w:p>
    <w:p w:rsidR="006E289F" w:rsidRDefault="006E289F" w:rsidP="006E289F">
      <w:pPr>
        <w:pStyle w:val="ConsPlusTitle"/>
        <w:jc w:val="center"/>
      </w:pPr>
      <w:r>
        <w:t>О ГОСУДАРСТВЕННОЙ ИНФОРМАЦИОННОЙ СИСТЕМЕ</w:t>
      </w:r>
    </w:p>
    <w:p w:rsidR="006E289F" w:rsidRDefault="006E289F" w:rsidP="006E289F">
      <w:pPr>
        <w:pStyle w:val="ConsPlusTitle"/>
        <w:jc w:val="center"/>
      </w:pPr>
      <w:r>
        <w:t xml:space="preserve">МОНИТОРИНГА В СФЕРЕ </w:t>
      </w:r>
      <w:proofErr w:type="gramStart"/>
      <w:r>
        <w:t>МЕЖНАЦИОНАЛЬНЫХ</w:t>
      </w:r>
      <w:proofErr w:type="gramEnd"/>
      <w:r>
        <w:t xml:space="preserve"> И МЕЖКОНФЕССИОНАЛЬНЫХ</w:t>
      </w:r>
    </w:p>
    <w:p w:rsidR="006E289F" w:rsidRDefault="006E289F" w:rsidP="006E289F">
      <w:pPr>
        <w:pStyle w:val="ConsPlusTitle"/>
        <w:jc w:val="center"/>
      </w:pPr>
      <w:r>
        <w:t>ОТНОШЕНИЙ И РАННЕГО ПРЕДУПРЕЖДЕНИЯ КОНФЛИКТНЫХ СИТУАЦИЙ</w:t>
      </w:r>
    </w:p>
    <w:p w:rsidR="006E289F" w:rsidRDefault="006E289F" w:rsidP="006E289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289F" w:rsidTr="00541B5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E289F" w:rsidRDefault="006E289F" w:rsidP="00541B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89F" w:rsidRDefault="006E289F" w:rsidP="00541B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29.11.2018 </w:t>
            </w:r>
            <w:hyperlink r:id="rId6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289F" w:rsidRDefault="006E289F" w:rsidP="00541B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7" w:history="1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2. Определить Федеральное агентство по делам национальностей оператором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Рекомендовать органам исполнительной власти субъектов Российской Федерации,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бюджетах субъектов Российской Федерации, местных бюджетах на руководство и управление в сфере установленных функций.</w:t>
      </w:r>
      <w:proofErr w:type="gramEnd"/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руководствоваться </w:t>
      </w:r>
      <w:hyperlink w:anchor="P33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при утверждении нормативных правовых актов, определяющих порядок формирования и ведения сегментов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субъектах Российской Федерации.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jc w:val="right"/>
      </w:pPr>
      <w:r>
        <w:t>Председатель Правительства</w:t>
      </w:r>
    </w:p>
    <w:p w:rsidR="006E289F" w:rsidRDefault="006E289F" w:rsidP="006E289F">
      <w:pPr>
        <w:pStyle w:val="ConsPlusNormal"/>
        <w:jc w:val="right"/>
      </w:pPr>
      <w:r>
        <w:t>Российской Федерации</w:t>
      </w:r>
    </w:p>
    <w:p w:rsidR="006E289F" w:rsidRDefault="006E289F" w:rsidP="006E289F">
      <w:pPr>
        <w:pStyle w:val="ConsPlusNormal"/>
        <w:jc w:val="right"/>
      </w:pPr>
      <w:r>
        <w:t>Д.МЕДВЕДЕВ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jc w:val="right"/>
        <w:outlineLvl w:val="0"/>
      </w:pPr>
      <w:r>
        <w:lastRenderedPageBreak/>
        <w:t>Утверждено</w:t>
      </w:r>
    </w:p>
    <w:p w:rsidR="006E289F" w:rsidRDefault="006E289F" w:rsidP="006E289F">
      <w:pPr>
        <w:pStyle w:val="ConsPlusNormal"/>
        <w:jc w:val="right"/>
      </w:pPr>
      <w:r>
        <w:t>постановлением Правительства</w:t>
      </w:r>
    </w:p>
    <w:p w:rsidR="006E289F" w:rsidRDefault="006E289F" w:rsidP="006E289F">
      <w:pPr>
        <w:pStyle w:val="ConsPlusNormal"/>
        <w:jc w:val="right"/>
      </w:pPr>
      <w:r>
        <w:t>Российской Федерации</w:t>
      </w:r>
    </w:p>
    <w:p w:rsidR="006E289F" w:rsidRDefault="006E289F" w:rsidP="006E289F">
      <w:pPr>
        <w:pStyle w:val="ConsPlusNormal"/>
        <w:jc w:val="right"/>
      </w:pPr>
      <w:r>
        <w:t>от 28 октября 2017 г. N 1312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Title"/>
        <w:jc w:val="center"/>
      </w:pPr>
      <w:bookmarkStart w:id="1" w:name="P33"/>
      <w:bookmarkEnd w:id="1"/>
      <w:r>
        <w:t>ПОЛОЖЕНИЕ</w:t>
      </w:r>
    </w:p>
    <w:p w:rsidR="006E289F" w:rsidRDefault="006E289F" w:rsidP="006E289F">
      <w:pPr>
        <w:pStyle w:val="ConsPlusTitle"/>
        <w:jc w:val="center"/>
      </w:pPr>
      <w:r>
        <w:t>О ГОСУДАРСТВЕННОЙ ИНФОРМАЦИОННОЙ СИСТЕМЕ МОНИТОРИНГА</w:t>
      </w:r>
    </w:p>
    <w:p w:rsidR="006E289F" w:rsidRDefault="006E289F" w:rsidP="006E289F">
      <w:pPr>
        <w:pStyle w:val="ConsPlusTitle"/>
        <w:jc w:val="center"/>
      </w:pPr>
      <w:r>
        <w:t>В СФЕРЕ МЕЖНАЦИОНАЛЬНЫХ И МЕЖКОНФЕССИОНАЛЬНЫХ ОТНОШЕНИЙ</w:t>
      </w:r>
    </w:p>
    <w:p w:rsidR="006E289F" w:rsidRDefault="006E289F" w:rsidP="006E289F">
      <w:pPr>
        <w:pStyle w:val="ConsPlusTitle"/>
        <w:jc w:val="center"/>
      </w:pPr>
      <w:r>
        <w:t>И РАННЕГО ПРЕДУПРЕЖДЕНИЯ КОНФЛИКТНЫХ СИТУАЦИЙ</w:t>
      </w:r>
    </w:p>
    <w:p w:rsidR="006E289F" w:rsidRDefault="006E289F" w:rsidP="006E289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289F" w:rsidTr="00541B5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E289F" w:rsidRDefault="006E289F" w:rsidP="00541B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89F" w:rsidRDefault="006E289F" w:rsidP="00541B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29.11.2018 </w:t>
            </w:r>
            <w:hyperlink r:id="rId8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289F" w:rsidRDefault="006E289F" w:rsidP="00541B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9" w:history="1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Title"/>
        <w:jc w:val="center"/>
        <w:outlineLvl w:val="1"/>
      </w:pPr>
      <w:r>
        <w:t>I. Общие положения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назначение, цель, задачи и принципы создания и развития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мониторинга), ее структуру, порядок обеспечения доступа к системе мониторинга, правовой режим информации и программно-технических средств системы мониторинга, требования к ее технологическим, программным и лингвистическим средствам, правила информационного взаимодействия с иными информационными системами</w:t>
      </w:r>
      <w:proofErr w:type="gramEnd"/>
      <w:r>
        <w:t>, а также порядок защиты информации, содержащейся в системе мониторинга.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2. Система мониторинга обеспечивает формирование единого информационного пространства для поддержки принятия управленческих решений в сфере реализации государственной национальной политики. </w:t>
      </w:r>
      <w:proofErr w:type="gramStart"/>
      <w:r>
        <w:t xml:space="preserve">Пользователями системы мониторинга являются Федеральное агентство по делам национальностей, иные федеральные органы исполнительной власти, органы исполнительной власти субъектов Российской Федерации, органы местного самоуправления при выполнении задач в сфере государственной национальной политики, предусмотренных </w:t>
      </w:r>
      <w:hyperlink r:id="rId10" w:history="1">
        <w:r>
          <w:rPr>
            <w:color w:val="0000FF"/>
          </w:rPr>
          <w:t>Стратегией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 "О Стратегии государственной национальной политики</w:t>
      </w:r>
      <w:proofErr w:type="gramEnd"/>
      <w:r>
        <w:t xml:space="preserve"> Российской Федерации на период до 2025 года" (далее - Стратегия).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3. Оператором системы мониторинга является Федеральное агентство по делам национальностей.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4. Федеральное агентство по делам национальностей как оператор системы мониторинга выполняет следующие функции: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proofErr w:type="gramStart"/>
      <w:r>
        <w:t xml:space="preserve">а) разрабатывает и утверждает в пределах своих полномочий нормативные правовые акты и иные документы, необходимые для функционирования системы мониторинга, а также методические рекомендации о порядке реагирования на выявленные системой мониторинга конфликтные и </w:t>
      </w:r>
      <w:proofErr w:type="spellStart"/>
      <w:r>
        <w:t>предконфликтные</w:t>
      </w:r>
      <w:proofErr w:type="spellEnd"/>
      <w:r>
        <w:t xml:space="preserve"> ситуации в сфере межнациональных и межконфессиональных отношений в субъектах Российской Федерации и муниципальных образованиях и заполнения электронных форм системы мониторинга (далее - методические рекомендации);</w:t>
      </w:r>
      <w:proofErr w:type="gramEnd"/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б) осуществляет ведение системы мониторинга, включая анализ сведений и информации, поступивших от федеральных органов исполнительной власти в рамках информационного взаимодействия, их размещение в системе мониторинга и актуализацию;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в) определяет направления развития системы мониторинга;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lastRenderedPageBreak/>
        <w:t>г) обеспечивает пользователей системы мониторинга методической поддержкой по вопросам работы и организует проведение обучения пользователей;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д) обеспечивает защиту информации, содержащейся в системе мониторинга, в соответствии с требованиями законодательства Российской Федерации;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е) организует доступ к системе мониторинга пользователей и их информационную поддержку по техническим вопросам;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ж) обеспечивает фиксирование сведений о фактах доступа к системе мониторинга и осуществляет их хранение.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5. Структура электронных форм системы мониторинга и порядок их заполнения указываются в методических рекомендациях.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Title"/>
        <w:jc w:val="center"/>
        <w:outlineLvl w:val="1"/>
      </w:pPr>
      <w:r>
        <w:t>II. Цель, основные задачи и принципы системы мониторинга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ind w:firstLine="540"/>
        <w:jc w:val="both"/>
      </w:pPr>
      <w:r>
        <w:t xml:space="preserve">6. Целью создания и функционирования системы мониторинга является реализация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в части: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а) обеспечения условий для решения задач, направленных на своевременное выявление конфликтных и </w:t>
      </w:r>
      <w:proofErr w:type="spellStart"/>
      <w:r>
        <w:t>предконфликтных</w:t>
      </w:r>
      <w:proofErr w:type="spellEnd"/>
      <w:r>
        <w:t xml:space="preserve"> ситуаций в сфере межнациональных и межконфессиональных отношений;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б) обеспечения возможности оперативного реагирования на возникновение конфликтных и </w:t>
      </w:r>
      <w:proofErr w:type="spellStart"/>
      <w:r>
        <w:t>предконфликтных</w:t>
      </w:r>
      <w:proofErr w:type="spellEnd"/>
      <w:r>
        <w:t xml:space="preserve"> ситуаций в сфере межнациональных и межконфессиональных отношений в субъектах Российской Федерации и в муниципальных образованиях;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в) принятия эффективных управленческих решений в сфере реализации государственной национальной политики;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г) учета лиц, относящихся к коренным малочисленным народам Российской Федерации, для обеспечения реализации социальных и экономических прав указанных лиц.</w:t>
      </w:r>
    </w:p>
    <w:p w:rsidR="006E289F" w:rsidRDefault="006E289F" w:rsidP="006E28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19.08.2020 N 1257)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7. Основными задачами системы мониторинга являются: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а) проведение мониторинга в информационно-телекоммуникационной сети "Интернет" (средства массовой информации, блоги и социальные сети, экспертные оценки, данные социологических опросов и прочие открытые (публичные) источники) конфликтных межнациональных и межконфессиональных ситуаций;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б) сбор, автоматическая и автоматизированная обработка данных о событиях, связанных с межнациональными и межконфессиональными отношениями (деятельность органов государственной власти, органов местного самоуправления), включая автоматическое (без участия оператора) выделение информационных поводов, отслеживание роста аудитории выделенных информационных поводов и передача их в отработку на муниципальный уровень на основании превышения критериев роста аудитории;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в) оценка, анализ и прогнозирование возникновения угроз межнациональных и межконфессиональных конфликтов;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г) выявление конфликтных и </w:t>
      </w:r>
      <w:proofErr w:type="spellStart"/>
      <w:r>
        <w:t>предконфликтных</w:t>
      </w:r>
      <w:proofErr w:type="spellEnd"/>
      <w:r>
        <w:t xml:space="preserve"> ситуаций, в конфликтующих группах которых усматривается разделение по этническому и (или) конфессиональному признаку, а также в случаях, когда стороны конфликта ищут поддержки в этнически (конфессионально) родственной или этнически (конфессионально) дружественной среде;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lastRenderedPageBreak/>
        <w:t>д) оповещение об угрозе возникновения межнационального или межконфессионального конфликта;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е) поддержка принятия обоснованных управленческих решений в сфере государственной национальной политики;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ж) наполнение системы мониторинга сведениями, предоставленными в соответствии с </w:t>
      </w:r>
      <w:hyperlink w:anchor="P114" w:history="1">
        <w:r>
          <w:rPr>
            <w:color w:val="0000FF"/>
          </w:rPr>
          <w:t>пунктом 18</w:t>
        </w:r>
      </w:hyperlink>
      <w:r>
        <w:t xml:space="preserve"> настоящего Положения;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з) поддержка профилактики любых форм дискриминации по признакам расовой, национальной, религиозной или языковой принадлежности за счет эффективного мониторинга и прогнозирования деятельности органов государственной власти по реализации государственной национальной политики;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и) осуществление регулярного сбора оперативной информации о состоянии и динамике социально-экономических и общественно-политических процессов в субъектах Российской Федерации, тенденциях развития межнациональных и межконфессиональных отношений в целях разработки соответствующих материалов, прогнозов и предложений. Периодичность осуществления сбора информации указывается в методических рекомендациях;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к) оценка </w:t>
      </w:r>
      <w:proofErr w:type="gramStart"/>
      <w:r>
        <w:t>эффективности деятельности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в сфере реализации государственной национальной политики;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л) оценка субъектов Российской Федерации по интегральному уровню конфликтности и социально-экономическим показателям;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м) мониторинг и аналитическая обработка различных источников информации по вопросам реализации государственной национальной политики;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н) формирование списка лиц, относящихся к коренным малочисленным народам Российской Федерации, а также его ведение в установленном порядке.</w:t>
      </w:r>
    </w:p>
    <w:p w:rsidR="006E289F" w:rsidRDefault="006E289F" w:rsidP="006E28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19.08.2020 N 1257)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8. Создание, функционирование и развитие системы мониторинга осуществляются на основании следующих принципов: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а) применение единой технической политики создания и функционирования системы мониторинга;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б) приоритетное использование информационно-телекоммуникационных технологий при сборе, обработке, хранении и обмене информацией;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в) однократный ввод сведений, размещаемых в сегментах системы мониторинга, и их многократное использование;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г) обеспечение оперативного доступа пользователей системы мониторинга к информационным ресурсам;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д) обеспечение полноты, достоверности, актуальности и целостности информации, размещаемой в системе мониторинга, в том числе за счет применения электронной подписи;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е) размещение сведений в системе мониторинга только уполномоченными должностными лицами;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ж) персональная ответственность уполномоченных должностных лиц за полноту, актуальность и достоверность сведений, размещаемых ими в системе мониторинга;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lastRenderedPageBreak/>
        <w:t>з) использование преимущественно свободного программного обеспечения при создании, модернизации, функционировании и развитии системы мониторинга.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Title"/>
        <w:jc w:val="center"/>
        <w:outlineLvl w:val="1"/>
      </w:pPr>
      <w:r>
        <w:t>III. Сегменты системы мониторинга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ind w:firstLine="540"/>
        <w:jc w:val="both"/>
      </w:pPr>
      <w:r>
        <w:t>9. Система мониторинга состоит из федерального сегмента и сегментов системы мониторинга субъектов Российской Федерации.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Федеральный сегмент системы мониторинга представляет собой единую информационно-технологическую инфраструктуру системы мониторинга.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В федеральный сегмент системы мониторинга входит закрытый модуль, содержащий сведения о мероприятиях по профилактике проявлений экстремизма и терроризма, проводимых в рамках реализации государственной национальной политики.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Сегменты системы мониторинга субъектов Российской Федерации (далее - региональные сегменты) формируются самостоятельно субъектом Российской Федерации путем проведения настроек системы мониторинга под специфику органов исполнительной власти субъекта Российской Федерации и подключения автоматизированных рабочих мест к системе мониторинга.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10. Федеральный сегмент системы мониторинга обеспечивает: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а) функцию автоматизации механизмов сбора, хранения, обработки, распространения и анализа информации в системе мониторинга на всей территории Российской Федерации;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б) функцию информационного взаимодействия между федеральными органами исполнительной власти;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в) функцию информационного взаимодействия между Федеральным агентством по делам национальностей и органами исполнительной власти субъектов Российской Федерации, осуществляющими полномочия в сфере реализации государственной национальной политики, в части оповещения органов исполнительной власти субъектов Российской Федерации о возникновении конфликтной или </w:t>
      </w:r>
      <w:proofErr w:type="spellStart"/>
      <w:r>
        <w:t>предконфликтной</w:t>
      </w:r>
      <w:proofErr w:type="spellEnd"/>
      <w:r>
        <w:t xml:space="preserve"> ситуации;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г) функцию хранения и обработки информации, доступ к которой ограничен федеральными законами.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11. Региональные сегменты системы мониторинга обеспечивают: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а) функцию автоматизации механизмов сбора, хранения, обработки, распространения и анализа информации в системе мониторинга в пределах соответствующего субъекта Российской Федерации;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б) функцию информационного взаимодействия между органами исполнительной власти субъектов Российской Федерации при выполнении задач в сфере государственной национальной политики, предусмотренных </w:t>
      </w:r>
      <w:hyperlink r:id="rId14" w:history="1">
        <w:r>
          <w:rPr>
            <w:color w:val="0000FF"/>
          </w:rPr>
          <w:t>Стратегией</w:t>
        </w:r>
      </w:hyperlink>
      <w:r>
        <w:t>, органами исполнительной власти субъектов Российской Федерации, осуществляющими полномочия в сфере реализации государственной национальной политики, и органами местного самоуправления.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12. Порядок работы с закрытым модулем федерального сегмента системы мониторинга утверждается Федеральным агентством по делам национальностей по согласованию с заинтересованными федеральными органами исполнительной власти.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Title"/>
        <w:jc w:val="center"/>
        <w:outlineLvl w:val="1"/>
      </w:pPr>
      <w:r>
        <w:t>IV. Межведомственное взаимодействие в рамках</w:t>
      </w:r>
    </w:p>
    <w:p w:rsidR="006E289F" w:rsidRDefault="006E289F" w:rsidP="006E289F">
      <w:pPr>
        <w:pStyle w:val="ConsPlusTitle"/>
        <w:jc w:val="center"/>
      </w:pPr>
      <w:r>
        <w:t>системы мониторинга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ind w:firstLine="540"/>
        <w:jc w:val="both"/>
      </w:pPr>
      <w:r>
        <w:t>13. Обмен информацией между пользователями системы мониторинга осуществляется в электронной форме по защищенным каналам связи.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14. Взаимодействие системы мониторинга с иными информационными системами осуществляется с учетом требований законодательства Российской Федерации к информационным системам, содержащим сведения, доступ к которым ограничен законодательством Российской Федерации.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Информационное взаимодействие в рамках системы мониторинга </w:t>
      </w:r>
      <w:proofErr w:type="gramStart"/>
      <w:r>
        <w:t>осуществляется</w:t>
      </w:r>
      <w:proofErr w:type="gramEnd"/>
      <w:r>
        <w:t xml:space="preserve"> в том числе с использованием единой системы межведомственного электронного взаимодействия.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15. Информационный обмен между федеральными органами исполнительной власти в рамках системы мониторинга осуществляется на основании межведомственного соглашения об информационном обмене (далее - соглашение), подписанного руководителем (заместителем руководителя) федерального органа исполнительной власти.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16. Технические и организационные требования к информационному обмену указываются в протоколе об информационном обмене, который является приложением к соглашению.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17. Поставщики сведений, размещаемых в сегментах системы мониторинга, обеспечивают их достоверность, полноту и актуальность.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18. Поставщиками сведений в систему мониторинга являются Министерство внутренних дел Российской Федерации, Министерство юстиции Российской Федерации, Министерство культуры Российской Федерации, Министерство науки и высшего образования, Министерство просвещения Российской Федерации, Федеральная служба охраны Российской Федерации и Федеральная служба по финансовому мониторингу.</w:t>
      </w:r>
    </w:p>
    <w:p w:rsidR="006E289F" w:rsidRDefault="006E289F" w:rsidP="006E28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Состав сведений, передающихся в систему мониторинга от каждого федерального органа исполнительной власти, определяется соглашением.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19. Обработка информации в рамках системы мониторинга и ее защита осуществляются с учетом положений законодательства Российской Федерации об информации, информационных технологиях, о защите информации и персональных данных.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Title"/>
        <w:jc w:val="center"/>
        <w:outlineLvl w:val="1"/>
      </w:pPr>
      <w:r>
        <w:t>V. Порядок обеспечения доступа к системе мониторинга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ind w:firstLine="540"/>
        <w:jc w:val="both"/>
      </w:pPr>
      <w:r>
        <w:t xml:space="preserve">20. Доступ к системе мониторинга предоставляется служащим федеральных органов исполнительной власти, органов исполнительной власти субъектов Российской Федерации, органов местного самоуправления, участвующим в выполнении задач в сфере государственной национальной политики, предусмотренных </w:t>
      </w:r>
      <w:hyperlink r:id="rId16" w:history="1">
        <w:r>
          <w:rPr>
            <w:color w:val="0000FF"/>
          </w:rPr>
          <w:t>Стратегией</w:t>
        </w:r>
      </w:hyperlink>
      <w:r>
        <w:t>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21. Идентификация и аутентификация служащих осуществляются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22.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самоуправления, выполняющих задачи в сфере государственной национальной политики, предусмотренные </w:t>
      </w:r>
      <w:hyperlink r:id="rId17" w:history="1">
        <w:r>
          <w:rPr>
            <w:color w:val="0000FF"/>
          </w:rPr>
          <w:t>Стратегией</w:t>
        </w:r>
      </w:hyperlink>
      <w:r>
        <w:t>, для получения доступа к системе мониторинга направляют оператору системы мониторинга заявку со списком служащих.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lastRenderedPageBreak/>
        <w:t>23. Оператор в течение 5 рабочих дней после получения заявки обеспечивает доступ к системе мониторинга служащим, указанным в заявке, и информирует их о предоставлении им доступа.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 увольнения служащего, участвующего в выполнении задач в сфере государственной национальной политики, предусмотренных </w:t>
      </w:r>
      <w:hyperlink r:id="rId18" w:history="1">
        <w:r>
          <w:rPr>
            <w:color w:val="0000FF"/>
          </w:rPr>
          <w:t>Стратегией</w:t>
        </w:r>
      </w:hyperlink>
      <w:r>
        <w:t xml:space="preserve">, руководители соответствующих федеральных органов исполнительной власти, органов исполнительной власти субъектов Российской Федерации, органов местного самоуправления, выполняющих задачи в сфере государственной национальной политики, предусмотренные </w:t>
      </w:r>
      <w:hyperlink r:id="rId19" w:history="1">
        <w:r>
          <w:rPr>
            <w:color w:val="0000FF"/>
          </w:rPr>
          <w:t>Стратегией</w:t>
        </w:r>
      </w:hyperlink>
      <w:r>
        <w:t>, не позднее даты увольнения служащего обязаны проинформировать оператора системы мониторинга о необходимости прекращения доступа такого служащего к системе мониторинга.</w:t>
      </w:r>
      <w:proofErr w:type="gramEnd"/>
      <w:r>
        <w:t xml:space="preserve"> Оператор в течение одного рабочего дня обязан прекратить доступ служащего к системе мониторинга.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25. Доступ к закрытому модулю системы мониторинга осуществляется на основании решения Федерального агентства по делам национальностей.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Title"/>
        <w:jc w:val="center"/>
        <w:outlineLvl w:val="1"/>
      </w:pPr>
      <w:r>
        <w:t>VI. Правовой режим информации, содержащейся</w:t>
      </w:r>
    </w:p>
    <w:p w:rsidR="006E289F" w:rsidRDefault="006E289F" w:rsidP="006E289F">
      <w:pPr>
        <w:pStyle w:val="ConsPlusTitle"/>
        <w:jc w:val="center"/>
      </w:pPr>
      <w:r>
        <w:t>в системе мониторинга, и программно-технических средств</w:t>
      </w:r>
    </w:p>
    <w:p w:rsidR="006E289F" w:rsidRDefault="006E289F" w:rsidP="006E289F">
      <w:pPr>
        <w:pStyle w:val="ConsPlusTitle"/>
        <w:jc w:val="center"/>
      </w:pPr>
      <w:r>
        <w:t>системы мониторинга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ind w:firstLine="540"/>
        <w:jc w:val="both"/>
      </w:pPr>
      <w:r>
        <w:t>26. Сведения о мероприятиях по профилактике проявлений экстремизма и терроризма, содержащиеся в системе мониторинга, относятся к информации, доступ к которой ограничен федеральными законами.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27. Правомочия обладателя информации, содержащейся в системе мониторинга, осуществляет Федеральное агентство по делам национальностей.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28. Федеральное агентство по делам национальностей обладает исключительными правами на используемые в системе мониторинга программное обеспечение и его компоненты.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29. Имущество, входящее в состав программно-технических средств системы координации, созданное или приобретенное за счет средств федерального бюджета, является федеральной собственностью.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Исключительные права на результаты работ и оказание услуг по настройке регионального сегмента системы мониторинга, включая программное обеспечение и его компоненты (программные библиотеки, компиляторы, сервера приложений, системы управления базами данных и иные объекты интеллектуальной собственности), принадлежат соответствующему субъекту Российской Федерации.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Title"/>
        <w:jc w:val="center"/>
        <w:outlineLvl w:val="1"/>
      </w:pPr>
      <w:r>
        <w:t>VII. Хранение информации, содержащейся</w:t>
      </w:r>
    </w:p>
    <w:p w:rsidR="006E289F" w:rsidRDefault="006E289F" w:rsidP="006E289F">
      <w:pPr>
        <w:pStyle w:val="ConsPlusTitle"/>
        <w:jc w:val="center"/>
      </w:pPr>
      <w:r>
        <w:t>в системе мониторинга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ind w:firstLine="540"/>
        <w:jc w:val="both"/>
      </w:pPr>
      <w:bookmarkStart w:id="3" w:name="P141"/>
      <w:bookmarkEnd w:id="3"/>
      <w:r>
        <w:t>30. Информация, содержащаяся в системе мониторинга и ее сегментах, хранится на электронных носителях. Срок хранения такой информации составляет 75 лет.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 xml:space="preserve">31. После истечения срока хранения, установленного </w:t>
      </w:r>
      <w:hyperlink w:anchor="P141" w:history="1">
        <w:r>
          <w:rPr>
            <w:color w:val="0000FF"/>
          </w:rPr>
          <w:t>пунктом 30</w:t>
        </w:r>
      </w:hyperlink>
      <w:r>
        <w:t xml:space="preserve"> настоящего Положения, информация, содержащаяся в системе мониторинга, подлежит уничтожению в установленном законодательством Российской Федерации порядке на основании акта об уничтожении.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32. Технологии и программные, лингвистические, правовые и организационные средства ведения системы мониторинга должны обеспечивать: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а) обмен документированными сведениями, содержащимися в системе мониторинга и ее сегментах;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lastRenderedPageBreak/>
        <w:t>б) поиск информации по различным реквизитам, хранение, обеспечение резервного копирования и защиту сведений, содержащихся в системе мониторинга и ее сегментах;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в) актуализацию сведений, содержащихся в системе мониторинга и ее сегментах,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г) составление аналитических отчетов по запросам заинтересованных лиц, ведение журнала операций, произведенных со сведениями системы мониторинга и ее сегментов.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Title"/>
        <w:jc w:val="center"/>
        <w:outlineLvl w:val="1"/>
      </w:pPr>
      <w:r>
        <w:t>VIII. Требования к техническим и программным средствам</w:t>
      </w:r>
    </w:p>
    <w:p w:rsidR="006E289F" w:rsidRDefault="006E289F" w:rsidP="006E289F">
      <w:pPr>
        <w:pStyle w:val="ConsPlusTitle"/>
        <w:jc w:val="center"/>
      </w:pPr>
      <w:r>
        <w:t>системы мониторинга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ind w:firstLine="540"/>
        <w:jc w:val="both"/>
      </w:pPr>
      <w:r>
        <w:t>33. Технические и программные средства системы мониторинга должны отвечать следующим требованиям: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а) располагаются на территории Российской Федерации;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б) обеспечивают размещение информации на государственном языке Российской Федерации;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в) имеют действующие сертификаты на средства криптографической защиты информации, выданные Федеральной службой безопасности Российской Федерации, и сертификаты на средства защиты информации (</w:t>
      </w:r>
      <w:proofErr w:type="spellStart"/>
      <w:r>
        <w:t>некриптографическими</w:t>
      </w:r>
      <w:proofErr w:type="spellEnd"/>
      <w:r>
        <w:t xml:space="preserve"> методами), выданные Федеральной службой по техническому и экспортному контролю;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г) обеспечивают автоматизированное ведение электронных журналов учета операций, осуществляемых в системе мониторинга, с фиксацией размещения, изменения и удаления информации, точного времени совершения таких операций, содержания изменений и информации о пользователях системы мониторинга, осуществивших указанные действия;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д) обеспечивают доступ пользователей к системе мониторинга, бесперебойное ведение баз данных и защиту содержащейся в системе мониторинга информации от несанкционированного доступа;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е) обеспечивают прохождение участниками системы мониторинга идентификац</w:t>
      </w:r>
      <w:proofErr w:type="gramStart"/>
      <w:r>
        <w:t>ии и ау</w:t>
      </w:r>
      <w:proofErr w:type="gramEnd"/>
      <w:r>
        <w:t>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ж) обеспечивают возможность получения информации из системы мониторинга в виде файлов, электронных сообщений или на бумажных носителях;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з) обеспечивают сохранность всех версий создаваемых документов и истории их изменений.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34. В системе мониторинга обеспечивается единство справочной информации, включая словари, справочники, реестры и классификаторы.</w:t>
      </w:r>
    </w:p>
    <w:p w:rsidR="006E289F" w:rsidRDefault="006E289F" w:rsidP="006E289F">
      <w:pPr>
        <w:pStyle w:val="ConsPlusNormal"/>
        <w:spacing w:before="220"/>
        <w:ind w:firstLine="540"/>
        <w:jc w:val="both"/>
      </w:pPr>
      <w:r>
        <w:t>Перечень словарей, справочников, реестров и классификаторов, используемых в системе мониторинга, устанавливается Федеральным агентством по делам национальностей.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Title"/>
        <w:jc w:val="center"/>
        <w:outlineLvl w:val="1"/>
      </w:pPr>
      <w:r>
        <w:t>IX. Требования к порядку защиты информации</w:t>
      </w: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ind w:firstLine="540"/>
        <w:jc w:val="both"/>
      </w:pPr>
      <w:r>
        <w:t xml:space="preserve">35. </w:t>
      </w:r>
      <w:proofErr w:type="gramStart"/>
      <w:r>
        <w:t xml:space="preserve">Порядок защиты информации, предусматривающий в частности виды работ по защите информации и порядок их выполнения, должен соответствовать </w:t>
      </w:r>
      <w:hyperlink r:id="rId20" w:history="1">
        <w:r>
          <w:rPr>
            <w:color w:val="0000FF"/>
          </w:rPr>
          <w:t>части 5 статьи 16</w:t>
        </w:r>
      </w:hyperlink>
      <w:r>
        <w:t xml:space="preserve"> Федерального </w:t>
      </w:r>
      <w:r>
        <w:lastRenderedPageBreak/>
        <w:t>закона "Об информации, информационных технологиях и о защите информации" и нормативным правовым актам Федеральной службы по техническому и экспортному контролю, определяющим требования к защите информации, не составляющей государственную тайну, содержащейся в государственных информационных системах.</w:t>
      </w:r>
      <w:proofErr w:type="gramEnd"/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jc w:val="both"/>
      </w:pPr>
    </w:p>
    <w:p w:rsidR="006E289F" w:rsidRDefault="006E289F" w:rsidP="006E2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289F" w:rsidRDefault="006E289F" w:rsidP="006E289F"/>
    <w:p w:rsidR="005E35ED" w:rsidRDefault="00612CFB"/>
    <w:sectPr w:rsidR="005E35ED" w:rsidSect="00A4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9F"/>
    <w:rsid w:val="004D3414"/>
    <w:rsid w:val="00612CFB"/>
    <w:rsid w:val="006E289F"/>
    <w:rsid w:val="007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9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9869CA1281C244F1284D276CEED11E0B161164A45746050D33803A15A3B78F2EAB17B37CFD526ADCD419E37E06D64053A1C1A1765E993v3LDL" TargetMode="External"/><Relationship Id="rId13" Type="http://schemas.openxmlformats.org/officeDocument/2006/relationships/hyperlink" Target="consultantplus://offline/ref=CEB9869CA1281C244F1284D276CEED11E0B663164F40746050D33803A15A3B78F2EAB17B37CFD42FA5CD419E37E06D64053A1C1A1765E993v3LDL" TargetMode="External"/><Relationship Id="rId18" Type="http://schemas.openxmlformats.org/officeDocument/2006/relationships/hyperlink" Target="consultantplus://offline/ref=CEB9869CA1281C244F1284D276CEED11E0B1611B4B42746050D33803A15A3B78F2EAB17B37CFD42FACCD419E37E06D64053A1C1A1765E993v3LD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EB9869CA1281C244F1284D276CEED11E0B663164F40746050D33803A15A3B78F2EAB17B37CFD42EA1CD419E37E06D64053A1C1A1765E993v3LDL" TargetMode="External"/><Relationship Id="rId12" Type="http://schemas.openxmlformats.org/officeDocument/2006/relationships/hyperlink" Target="consultantplus://offline/ref=CEB9869CA1281C244F1284D276CEED11E0B663164F40746050D33803A15A3B78F2EAB17B37CFD42EADCD419E37E06D64053A1C1A1765E993v3LDL" TargetMode="External"/><Relationship Id="rId17" Type="http://schemas.openxmlformats.org/officeDocument/2006/relationships/hyperlink" Target="consultantplus://offline/ref=CEB9869CA1281C244F1284D276CEED11E0B1611B4B42746050D33803A15A3B78F2EAB17B37CFD42FACCD419E37E06D64053A1C1A1765E993v3L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B9869CA1281C244F1284D276CEED11E0B1611B4B42746050D33803A15A3B78F2EAB17B37CFD42FACCD419E37E06D64053A1C1A1765E993v3LDL" TargetMode="External"/><Relationship Id="rId20" Type="http://schemas.openxmlformats.org/officeDocument/2006/relationships/hyperlink" Target="consultantplus://offline/ref=CEB9869CA1281C244F1284D276CEED11E0B567174B42746050D33803A15A3B78F2EAB17B37CFD52BACCD419E37E06D64053A1C1A1765E993v3L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9869CA1281C244F1284D276CEED11E0B161164A45746050D33803A15A3B78F2EAB17B37CFD526ADCD419E37E06D64053A1C1A1765E993v3LDL" TargetMode="External"/><Relationship Id="rId11" Type="http://schemas.openxmlformats.org/officeDocument/2006/relationships/hyperlink" Target="consultantplus://offline/ref=CEB9869CA1281C244F1284D276CEED11E0B1611B4B42746050D33803A15A3B78F2EAB17B37CFD42FACCD419E37E06D64053A1C1A1765E993v3L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B9869CA1281C244F1284D276CEED11E0B161164A45746050D33803A15A3B78F2EAB17B37CFD526ADCD419E37E06D64053A1C1A1765E993v3LDL" TargetMode="External"/><Relationship Id="rId10" Type="http://schemas.openxmlformats.org/officeDocument/2006/relationships/hyperlink" Target="consultantplus://offline/ref=CEB9869CA1281C244F1284D276CEED11E0B1611B4B42746050D33803A15A3B78F2EAB17B37CFD42FACCD419E37E06D64053A1C1A1765E993v3LDL" TargetMode="External"/><Relationship Id="rId19" Type="http://schemas.openxmlformats.org/officeDocument/2006/relationships/hyperlink" Target="consultantplus://offline/ref=CEB9869CA1281C244F1284D276CEED11E0B1611B4B42746050D33803A15A3B78F2EAB17B37CFD42FACCD419E37E06D64053A1C1A1765E993v3L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B9869CA1281C244F1284D276CEED11E0B663164F40746050D33803A15A3B78F2EAB17B37CFD42EA1CD419E37E06D64053A1C1A1765E993v3LDL" TargetMode="External"/><Relationship Id="rId14" Type="http://schemas.openxmlformats.org/officeDocument/2006/relationships/hyperlink" Target="consultantplus://offline/ref=CEB9869CA1281C244F1284D276CEED11E0B1611B4B42746050D33803A15A3B78F2EAB17B37CFD42FACCD419E37E06D64053A1C1A1765E993v3L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Викторовна Филиновская</dc:creator>
  <cp:lastModifiedBy>Лидия Вячеславовна Львова</cp:lastModifiedBy>
  <cp:revision>2</cp:revision>
  <dcterms:created xsi:type="dcterms:W3CDTF">2020-10-09T13:14:00Z</dcterms:created>
  <dcterms:modified xsi:type="dcterms:W3CDTF">2020-10-09T13:14:00Z</dcterms:modified>
</cp:coreProperties>
</file>