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D" w:rsidRDefault="0037464D" w:rsidP="0037464D">
      <w:pPr>
        <w:tabs>
          <w:tab w:val="left" w:pos="142"/>
        </w:tabs>
        <w:ind w:firstLine="709"/>
        <w:jc w:val="center"/>
        <w:rPr>
          <w:rFonts w:eastAsia="Calibri"/>
          <w:b/>
          <w:sz w:val="26"/>
          <w:szCs w:val="26"/>
        </w:rPr>
      </w:pPr>
      <w:r w:rsidRPr="0037464D">
        <w:rPr>
          <w:b/>
          <w:sz w:val="26"/>
          <w:szCs w:val="26"/>
        </w:rPr>
        <w:t>П</w:t>
      </w:r>
      <w:r w:rsidRPr="0037464D">
        <w:rPr>
          <w:b/>
          <w:sz w:val="26"/>
          <w:szCs w:val="26"/>
        </w:rPr>
        <w:t xml:space="preserve">обедители </w:t>
      </w:r>
      <w:r w:rsidRPr="0037464D">
        <w:rPr>
          <w:rFonts w:eastAsia="Calibri"/>
          <w:b/>
          <w:sz w:val="26"/>
          <w:szCs w:val="26"/>
        </w:rPr>
        <w:t xml:space="preserve">регионального этапа </w:t>
      </w:r>
    </w:p>
    <w:p w:rsidR="0037464D" w:rsidRDefault="0037464D" w:rsidP="0037464D">
      <w:pPr>
        <w:tabs>
          <w:tab w:val="left" w:pos="142"/>
        </w:tabs>
        <w:ind w:firstLine="709"/>
        <w:jc w:val="center"/>
        <w:rPr>
          <w:rFonts w:eastAsia="Calibri"/>
          <w:b/>
          <w:sz w:val="26"/>
          <w:szCs w:val="26"/>
        </w:rPr>
      </w:pPr>
      <w:r w:rsidRPr="0037464D">
        <w:rPr>
          <w:rFonts w:eastAsia="Calibri"/>
          <w:b/>
          <w:sz w:val="26"/>
          <w:szCs w:val="26"/>
        </w:rPr>
        <w:t xml:space="preserve">Всероссийского конкурса «Лучшая муниципальная практика» </w:t>
      </w:r>
    </w:p>
    <w:p w:rsidR="0037464D" w:rsidRDefault="0037464D" w:rsidP="0037464D">
      <w:pPr>
        <w:tabs>
          <w:tab w:val="left" w:pos="142"/>
        </w:tabs>
        <w:ind w:firstLine="709"/>
        <w:jc w:val="center"/>
        <w:rPr>
          <w:rFonts w:eastAsia="Calibri"/>
          <w:b/>
          <w:sz w:val="26"/>
          <w:szCs w:val="26"/>
        </w:rPr>
      </w:pPr>
      <w:r w:rsidRPr="0037464D">
        <w:rPr>
          <w:rFonts w:eastAsia="Calibri"/>
          <w:b/>
          <w:sz w:val="26"/>
          <w:szCs w:val="26"/>
        </w:rPr>
        <w:t xml:space="preserve">среди муниципальных образований </w:t>
      </w:r>
    </w:p>
    <w:p w:rsidR="0037464D" w:rsidRPr="0037464D" w:rsidRDefault="0037464D" w:rsidP="0037464D">
      <w:pPr>
        <w:tabs>
          <w:tab w:val="left" w:pos="142"/>
        </w:tabs>
        <w:ind w:firstLine="709"/>
        <w:jc w:val="center"/>
        <w:rPr>
          <w:rFonts w:eastAsia="Calibri"/>
          <w:b/>
          <w:sz w:val="26"/>
          <w:szCs w:val="26"/>
        </w:rPr>
      </w:pPr>
      <w:r w:rsidRPr="0037464D">
        <w:rPr>
          <w:rFonts w:eastAsia="Calibri"/>
          <w:b/>
          <w:sz w:val="26"/>
          <w:szCs w:val="26"/>
        </w:rPr>
        <w:t>Ленинградской области в 2023 году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</w:rPr>
      </w:pPr>
    </w:p>
    <w:p w:rsidR="0037464D" w:rsidRPr="0037464D" w:rsidRDefault="0037464D" w:rsidP="0037464D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i/>
          <w:sz w:val="26"/>
          <w:szCs w:val="26"/>
        </w:rPr>
      </w:pPr>
      <w:r w:rsidRPr="0037464D">
        <w:rPr>
          <w:rFonts w:eastAsia="Calibri"/>
          <w:b/>
          <w:sz w:val="26"/>
          <w:szCs w:val="26"/>
        </w:rPr>
        <w:t>В</w:t>
      </w:r>
      <w:r w:rsidRPr="0037464D">
        <w:rPr>
          <w:rFonts w:eastAsia="Calibri"/>
          <w:b/>
          <w:sz w:val="26"/>
          <w:szCs w:val="26"/>
        </w:rPr>
        <w:t xml:space="preserve"> номинации</w:t>
      </w:r>
      <w:r w:rsidRPr="0037464D">
        <w:rPr>
          <w:b/>
          <w:sz w:val="26"/>
          <w:szCs w:val="26"/>
        </w:rPr>
        <w:t xml:space="preserve"> </w:t>
      </w:r>
      <w:r w:rsidRPr="0037464D">
        <w:rPr>
          <w:b/>
          <w:i/>
          <w:sz w:val="26"/>
          <w:szCs w:val="26"/>
        </w:rPr>
        <w:t xml:space="preserve">«Обеспечение эффективной «обратной связи» </w:t>
      </w:r>
      <w:r w:rsidRPr="0037464D">
        <w:rPr>
          <w:b/>
          <w:i/>
          <w:sz w:val="26"/>
          <w:szCs w:val="26"/>
        </w:rPr>
        <w:br/>
        <w:t>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Pr="0037464D">
        <w:rPr>
          <w:i/>
          <w:sz w:val="26"/>
          <w:szCs w:val="26"/>
        </w:rPr>
        <w:t>»: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«Городской округ и городские поселения Ленинградской области»: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место</w:t>
      </w:r>
      <w:r>
        <w:rPr>
          <w:sz w:val="26"/>
          <w:szCs w:val="26"/>
        </w:rPr>
        <w:t xml:space="preserve"> –</w:t>
      </w:r>
      <w:r>
        <w:rPr>
          <w:rFonts w:eastAsiaTheme="minorHAnsi"/>
          <w:sz w:val="26"/>
          <w:szCs w:val="26"/>
          <w:lang w:eastAsia="en-US"/>
        </w:rPr>
        <w:t xml:space="preserve"> муниципальное образование </w:t>
      </w:r>
      <w:proofErr w:type="spellStart"/>
      <w:r>
        <w:rPr>
          <w:rFonts w:eastAsiaTheme="minorHAnsi"/>
          <w:sz w:val="26"/>
          <w:szCs w:val="26"/>
          <w:lang w:eastAsia="en-US"/>
        </w:rPr>
        <w:t>Мгинское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городское поселение Кировского муниципального района Ленинградской области</w:t>
      </w:r>
      <w:r>
        <w:rPr>
          <w:sz w:val="26"/>
          <w:szCs w:val="26"/>
        </w:rPr>
        <w:t>;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 место</w:t>
      </w:r>
      <w:r>
        <w:rPr>
          <w:sz w:val="26"/>
          <w:szCs w:val="26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>муниципальное образование город Коммунар Гатчинского муниципального района Ленинградской области</w:t>
      </w:r>
      <w:r>
        <w:rPr>
          <w:sz w:val="26"/>
          <w:szCs w:val="26"/>
        </w:rPr>
        <w:t>;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3 место</w:t>
      </w:r>
      <w:r>
        <w:rPr>
          <w:rFonts w:eastAsiaTheme="minorHAnsi"/>
          <w:sz w:val="26"/>
          <w:szCs w:val="26"/>
          <w:lang w:eastAsia="en-US"/>
        </w:rPr>
        <w:t xml:space="preserve"> - муниципальное образование Кировское городское поселение Кировского муниципального района Ленинградской области</w:t>
      </w:r>
      <w:r>
        <w:rPr>
          <w:sz w:val="26"/>
          <w:szCs w:val="26"/>
        </w:rPr>
        <w:t>;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 </w:t>
      </w:r>
      <w:r>
        <w:rPr>
          <w:rFonts w:eastAsia="Calibri"/>
          <w:b/>
          <w:sz w:val="26"/>
          <w:szCs w:val="26"/>
          <w:lang w:val="en-US" w:eastAsia="en-US"/>
        </w:rPr>
        <w:t>II</w:t>
      </w:r>
      <w:r>
        <w:rPr>
          <w:rFonts w:eastAsia="Calibri"/>
          <w:b/>
          <w:sz w:val="26"/>
          <w:szCs w:val="26"/>
          <w:lang w:eastAsia="en-US"/>
        </w:rPr>
        <w:t xml:space="preserve"> категории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«Сельские поселения </w:t>
      </w:r>
      <w:r>
        <w:rPr>
          <w:rFonts w:eastAsia="Calibri"/>
          <w:sz w:val="26"/>
          <w:szCs w:val="26"/>
          <w:lang w:eastAsia="en-US"/>
        </w:rPr>
        <w:t>Ленинградской области»: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 место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– муниципальное образование </w:t>
      </w:r>
      <w:proofErr w:type="spellStart"/>
      <w:r>
        <w:rPr>
          <w:rFonts w:eastAsiaTheme="minorHAnsi"/>
          <w:sz w:val="26"/>
          <w:szCs w:val="26"/>
          <w:lang w:eastAsia="en-US"/>
        </w:rPr>
        <w:t>Раздольевское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Приозерского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района Ленинградской области</w:t>
      </w:r>
      <w:r>
        <w:rPr>
          <w:sz w:val="26"/>
          <w:szCs w:val="26"/>
          <w:lang w:eastAsia="en-US"/>
        </w:rPr>
        <w:t>;</w:t>
      </w:r>
    </w:p>
    <w:p w:rsidR="0037464D" w:rsidRDefault="0037464D" w:rsidP="0037464D">
      <w:pPr>
        <w:ind w:firstLine="709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 место</w:t>
      </w:r>
      <w:r>
        <w:rPr>
          <w:sz w:val="26"/>
          <w:szCs w:val="26"/>
          <w:lang w:eastAsia="en-US"/>
        </w:rPr>
        <w:t xml:space="preserve"> - муниципальное образование </w:t>
      </w:r>
      <w:proofErr w:type="spellStart"/>
      <w:r>
        <w:rPr>
          <w:sz w:val="26"/>
          <w:szCs w:val="26"/>
          <w:lang w:eastAsia="en-US"/>
        </w:rPr>
        <w:t>Новодевяткинское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поселение» Всеволожского муниципального района Ленинградской области;</w:t>
      </w:r>
    </w:p>
    <w:p w:rsidR="0037464D" w:rsidRDefault="0037464D" w:rsidP="0037464D">
      <w:pPr>
        <w:ind w:firstLine="709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 место</w:t>
      </w:r>
      <w:r>
        <w:rPr>
          <w:sz w:val="26"/>
          <w:szCs w:val="26"/>
          <w:lang w:eastAsia="en-US"/>
        </w:rPr>
        <w:t xml:space="preserve"> – муниципальное образование </w:t>
      </w:r>
      <w:proofErr w:type="spellStart"/>
      <w:r>
        <w:rPr>
          <w:sz w:val="26"/>
          <w:szCs w:val="26"/>
          <w:lang w:eastAsia="en-US"/>
        </w:rPr>
        <w:t>Усадищенское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поселение» </w:t>
      </w:r>
      <w:proofErr w:type="spellStart"/>
      <w:r>
        <w:rPr>
          <w:sz w:val="26"/>
          <w:szCs w:val="26"/>
          <w:lang w:eastAsia="en-US"/>
        </w:rPr>
        <w:t>Волховского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Ленинградской области.</w:t>
      </w:r>
    </w:p>
    <w:p w:rsidR="0037464D" w:rsidRDefault="0037464D" w:rsidP="0037464D">
      <w:pPr>
        <w:ind w:firstLine="709"/>
        <w:jc w:val="both"/>
        <w:rPr>
          <w:sz w:val="26"/>
          <w:szCs w:val="26"/>
          <w:lang w:eastAsia="en-US"/>
        </w:rPr>
      </w:pPr>
    </w:p>
    <w:p w:rsidR="0037464D" w:rsidRPr="0037464D" w:rsidRDefault="0037464D" w:rsidP="0037464D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i/>
          <w:sz w:val="26"/>
          <w:szCs w:val="26"/>
        </w:rPr>
      </w:pPr>
      <w:r w:rsidRPr="0037464D">
        <w:rPr>
          <w:b/>
          <w:sz w:val="26"/>
          <w:szCs w:val="26"/>
        </w:rPr>
        <w:t>В</w:t>
      </w:r>
      <w:r w:rsidRPr="0037464D">
        <w:rPr>
          <w:rFonts w:eastAsia="Calibri"/>
          <w:b/>
          <w:sz w:val="26"/>
          <w:szCs w:val="26"/>
        </w:rPr>
        <w:t xml:space="preserve"> номинации</w:t>
      </w:r>
      <w:r w:rsidRPr="0037464D">
        <w:rPr>
          <w:b/>
          <w:sz w:val="26"/>
          <w:szCs w:val="26"/>
        </w:rPr>
        <w:t xml:space="preserve"> </w:t>
      </w:r>
      <w:r w:rsidRPr="0037464D">
        <w:rPr>
          <w:b/>
          <w:i/>
          <w:sz w:val="26"/>
          <w:szCs w:val="26"/>
        </w:rPr>
        <w:t>«Укрепление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37464D">
        <w:rPr>
          <w:i/>
          <w:sz w:val="26"/>
          <w:szCs w:val="26"/>
        </w:rPr>
        <w:t>: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категории </w:t>
      </w:r>
      <w:r>
        <w:rPr>
          <w:sz w:val="26"/>
          <w:szCs w:val="26"/>
          <w:lang w:eastAsia="en-US"/>
        </w:rPr>
        <w:t>«Городской округ и городские поселения Ленинградской области</w:t>
      </w:r>
      <w:r>
        <w:rPr>
          <w:rFonts w:eastAsia="Calibri"/>
          <w:sz w:val="26"/>
          <w:szCs w:val="26"/>
          <w:lang w:eastAsia="en-US"/>
        </w:rPr>
        <w:t>»:</w:t>
      </w:r>
      <w:r>
        <w:rPr>
          <w:sz w:val="26"/>
          <w:szCs w:val="26"/>
        </w:rPr>
        <w:t xml:space="preserve"> </w:t>
      </w:r>
    </w:p>
    <w:p w:rsidR="0037464D" w:rsidRDefault="0037464D" w:rsidP="0037464D">
      <w:pPr>
        <w:ind w:firstLine="708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1 место</w:t>
      </w:r>
      <w:r>
        <w:rPr>
          <w:rFonts w:eastAsia="Calibri"/>
          <w:sz w:val="26"/>
          <w:szCs w:val="26"/>
          <w:lang w:eastAsia="en-US"/>
        </w:rPr>
        <w:t xml:space="preserve"> – </w:t>
      </w:r>
      <w:r>
        <w:rPr>
          <w:sz w:val="26"/>
          <w:szCs w:val="26"/>
        </w:rPr>
        <w:t xml:space="preserve">муниципальное образование </w:t>
      </w: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37464D" w:rsidRDefault="0037464D" w:rsidP="0037464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 место</w:t>
      </w:r>
      <w:r>
        <w:rPr>
          <w:sz w:val="26"/>
          <w:szCs w:val="26"/>
        </w:rPr>
        <w:t xml:space="preserve"> – присваивается следующим муниципальным образованиям Ленинградской области:</w:t>
      </w:r>
    </w:p>
    <w:p w:rsidR="0037464D" w:rsidRDefault="0037464D" w:rsidP="0037464D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Сланцевское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7464D" w:rsidRDefault="0037464D" w:rsidP="0037464D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Гатчинское городское поселение Гатчинского муниципального района;</w:t>
      </w:r>
    </w:p>
    <w:p w:rsidR="0037464D" w:rsidRDefault="0037464D" w:rsidP="0037464D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Дружногорское</w:t>
      </w:r>
      <w:proofErr w:type="spellEnd"/>
      <w:r>
        <w:rPr>
          <w:sz w:val="26"/>
          <w:szCs w:val="26"/>
        </w:rPr>
        <w:t xml:space="preserve"> городское поселение Гатчинского муниципального района;</w:t>
      </w:r>
    </w:p>
    <w:p w:rsidR="0037464D" w:rsidRDefault="0037464D" w:rsidP="0037464D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Тихвинское городское поселение («</w:t>
      </w:r>
      <w:proofErr w:type="spellStart"/>
      <w:r>
        <w:rPr>
          <w:sz w:val="26"/>
          <w:szCs w:val="26"/>
        </w:rPr>
        <w:t>Ведушка</w:t>
      </w:r>
      <w:proofErr w:type="spellEnd"/>
      <w:r>
        <w:rPr>
          <w:sz w:val="26"/>
          <w:szCs w:val="26"/>
        </w:rPr>
        <w:t>») Тихвинского муниципального района;</w:t>
      </w:r>
    </w:p>
    <w:p w:rsidR="0037464D" w:rsidRDefault="0037464D" w:rsidP="0037464D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Подпорожское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Подпорожского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7464D" w:rsidRDefault="0037464D" w:rsidP="0037464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 место</w:t>
      </w:r>
      <w:r>
        <w:rPr>
          <w:sz w:val="26"/>
          <w:szCs w:val="26"/>
        </w:rPr>
        <w:t xml:space="preserve"> - присваивается следующим муниципальным образованиям Ленинградской области:</w:t>
      </w:r>
    </w:p>
    <w:p w:rsidR="0037464D" w:rsidRDefault="0037464D" w:rsidP="0037464D">
      <w:pPr>
        <w:pStyle w:val="a3"/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Муринское</w:t>
      </w:r>
      <w:proofErr w:type="spellEnd"/>
      <w:r>
        <w:rPr>
          <w:sz w:val="26"/>
          <w:szCs w:val="26"/>
        </w:rPr>
        <w:t xml:space="preserve"> городское поселение Всеволожского муниципального района;</w:t>
      </w:r>
    </w:p>
    <w:p w:rsidR="0037464D" w:rsidRDefault="0037464D" w:rsidP="0037464D">
      <w:pPr>
        <w:pStyle w:val="a3"/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Тихвинское городское поселение («Школа мигранта») Тихвинского муниципального района;</w:t>
      </w:r>
    </w:p>
    <w:p w:rsidR="0037464D" w:rsidRDefault="0037464D" w:rsidP="0037464D">
      <w:pPr>
        <w:pStyle w:val="a3"/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Тихвинское городское поселение («Малые народы великой страны») Тихвинского муниципального района.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во </w:t>
      </w:r>
      <w:r>
        <w:rPr>
          <w:rFonts w:eastAsia="Calibri"/>
          <w:b/>
          <w:sz w:val="26"/>
          <w:szCs w:val="26"/>
          <w:lang w:val="en-US" w:eastAsia="en-US"/>
        </w:rPr>
        <w:t>II</w:t>
      </w:r>
      <w:r>
        <w:rPr>
          <w:rFonts w:eastAsia="Calibri"/>
          <w:b/>
          <w:sz w:val="26"/>
          <w:szCs w:val="26"/>
          <w:lang w:eastAsia="en-US"/>
        </w:rPr>
        <w:t xml:space="preserve"> категории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«Сельские поселения </w:t>
      </w:r>
      <w:r>
        <w:rPr>
          <w:rFonts w:eastAsia="Calibri"/>
          <w:sz w:val="26"/>
          <w:szCs w:val="26"/>
          <w:lang w:eastAsia="en-US"/>
        </w:rPr>
        <w:t>Ленинградской области»:</w:t>
      </w:r>
    </w:p>
    <w:p w:rsidR="0037464D" w:rsidRDefault="0037464D" w:rsidP="0037464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 место</w:t>
      </w:r>
      <w:r>
        <w:rPr>
          <w:rFonts w:eastAsiaTheme="minorHAnsi"/>
          <w:sz w:val="26"/>
          <w:szCs w:val="26"/>
          <w:lang w:eastAsia="en-US"/>
        </w:rPr>
        <w:t xml:space="preserve"> – муниципальное образование </w:t>
      </w:r>
      <w:proofErr w:type="spellStart"/>
      <w:r>
        <w:rPr>
          <w:rFonts w:eastAsiaTheme="minorHAnsi"/>
          <w:sz w:val="26"/>
          <w:szCs w:val="26"/>
          <w:lang w:eastAsia="en-US"/>
        </w:rPr>
        <w:t>Пашозерское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сельское поселение Тихвинского </w:t>
      </w:r>
      <w:r>
        <w:rPr>
          <w:sz w:val="26"/>
          <w:szCs w:val="26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>района Ленинградской области».</w:t>
      </w:r>
    </w:p>
    <w:p w:rsidR="0037464D" w:rsidRDefault="0037464D" w:rsidP="0037464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 место</w:t>
      </w:r>
      <w:r>
        <w:rPr>
          <w:rFonts w:eastAsia="Calibri"/>
          <w:sz w:val="26"/>
          <w:szCs w:val="26"/>
          <w:lang w:eastAsia="en-US"/>
        </w:rPr>
        <w:t xml:space="preserve"> – присваивается следующим муниципальным образованиям:</w:t>
      </w:r>
    </w:p>
    <w:p w:rsidR="0037464D" w:rsidRDefault="0037464D" w:rsidP="0037464D">
      <w:pPr>
        <w:pStyle w:val="a3"/>
        <w:numPr>
          <w:ilvl w:val="0"/>
          <w:numId w:val="3"/>
        </w:num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Бугровское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 поселение Всеволожского муниципального района;</w:t>
      </w:r>
    </w:p>
    <w:p w:rsidR="0037464D" w:rsidRDefault="0037464D" w:rsidP="0037464D">
      <w:pPr>
        <w:pStyle w:val="a3"/>
        <w:numPr>
          <w:ilvl w:val="0"/>
          <w:numId w:val="3"/>
        </w:num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Пудостьское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 поселение Гатчинского муниципального района.</w:t>
      </w:r>
    </w:p>
    <w:p w:rsidR="0037464D" w:rsidRDefault="0037464D" w:rsidP="0037464D">
      <w:pPr>
        <w:ind w:firstLine="708"/>
        <w:jc w:val="both"/>
        <w:rPr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 место</w:t>
      </w:r>
      <w:r>
        <w:rPr>
          <w:rFonts w:eastAsia="Calibri"/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 xml:space="preserve">присваивается следующим муниципальным образованиям: </w:t>
      </w:r>
    </w:p>
    <w:p w:rsidR="0037464D" w:rsidRDefault="0037464D" w:rsidP="0037464D">
      <w:pPr>
        <w:pStyle w:val="a3"/>
        <w:numPr>
          <w:ilvl w:val="0"/>
          <w:numId w:val="4"/>
        </w:numPr>
        <w:ind w:left="426" w:hanging="426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Фалилеевское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 </w:t>
      </w:r>
      <w:proofErr w:type="spellStart"/>
      <w:r>
        <w:rPr>
          <w:sz w:val="26"/>
          <w:szCs w:val="26"/>
          <w:lang w:eastAsia="en-US"/>
        </w:rPr>
        <w:t>Кингисеппского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района;</w:t>
      </w:r>
    </w:p>
    <w:p w:rsidR="0037464D" w:rsidRDefault="0037464D" w:rsidP="0037464D">
      <w:pPr>
        <w:pStyle w:val="a3"/>
        <w:numPr>
          <w:ilvl w:val="0"/>
          <w:numId w:val="4"/>
        </w:numPr>
        <w:ind w:left="426" w:hanging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Винницкое сельское поселение </w:t>
      </w:r>
      <w:proofErr w:type="spellStart"/>
      <w:r>
        <w:rPr>
          <w:sz w:val="26"/>
          <w:szCs w:val="26"/>
          <w:lang w:eastAsia="en-US"/>
        </w:rPr>
        <w:t>Подпорожского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района.</w:t>
      </w:r>
    </w:p>
    <w:p w:rsidR="0037464D" w:rsidRDefault="0037464D" w:rsidP="0037464D">
      <w:pPr>
        <w:jc w:val="both"/>
        <w:rPr>
          <w:sz w:val="26"/>
          <w:szCs w:val="26"/>
          <w:lang w:eastAsia="en-US"/>
        </w:rPr>
      </w:pPr>
    </w:p>
    <w:p w:rsidR="0037464D" w:rsidRPr="0037464D" w:rsidRDefault="0037464D" w:rsidP="0037464D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b/>
          <w:i/>
          <w:sz w:val="26"/>
          <w:szCs w:val="26"/>
        </w:rPr>
      </w:pPr>
      <w:r w:rsidRPr="0037464D">
        <w:rPr>
          <w:b/>
          <w:sz w:val="26"/>
          <w:szCs w:val="26"/>
        </w:rPr>
        <w:t>В</w:t>
      </w:r>
      <w:r w:rsidRPr="0037464D">
        <w:rPr>
          <w:rFonts w:eastAsia="Calibri"/>
          <w:b/>
          <w:sz w:val="26"/>
          <w:szCs w:val="26"/>
        </w:rPr>
        <w:t xml:space="preserve"> номинации</w:t>
      </w:r>
      <w:r w:rsidRPr="0037464D">
        <w:rPr>
          <w:b/>
          <w:sz w:val="26"/>
          <w:szCs w:val="26"/>
        </w:rPr>
        <w:t xml:space="preserve"> </w:t>
      </w:r>
      <w:r w:rsidRPr="0037464D">
        <w:rPr>
          <w:b/>
          <w:i/>
          <w:sz w:val="26"/>
          <w:szCs w:val="26"/>
        </w:rPr>
        <w:t>«Муниципальная экономическая политика и управление муниципальными финансами»: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в I категории</w:t>
      </w:r>
      <w:r>
        <w:rPr>
          <w:sz w:val="26"/>
          <w:szCs w:val="26"/>
          <w:lang w:eastAsia="en-US"/>
        </w:rPr>
        <w:t xml:space="preserve"> «Городской округ и городские поселения Ленинградской области» - </w:t>
      </w:r>
      <w:r>
        <w:rPr>
          <w:rFonts w:eastAsiaTheme="minorHAnsi"/>
          <w:sz w:val="26"/>
          <w:szCs w:val="26"/>
          <w:lang w:eastAsia="en-US"/>
        </w:rPr>
        <w:t xml:space="preserve">муниципальное образование </w:t>
      </w:r>
      <w:proofErr w:type="spellStart"/>
      <w:r>
        <w:rPr>
          <w:rFonts w:eastAsiaTheme="minorHAnsi"/>
          <w:sz w:val="26"/>
          <w:szCs w:val="26"/>
          <w:lang w:eastAsia="en-US"/>
        </w:rPr>
        <w:t>Лужское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городское поселение Лужского муниципального района Ленинградской области.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  <w:lang w:eastAsia="en-US"/>
        </w:rPr>
      </w:pP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37464D" w:rsidRPr="0037464D" w:rsidRDefault="0037464D" w:rsidP="0037464D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37464D">
        <w:rPr>
          <w:b/>
          <w:sz w:val="26"/>
          <w:szCs w:val="26"/>
        </w:rPr>
        <w:t xml:space="preserve">4. </w:t>
      </w:r>
      <w:r w:rsidRPr="0037464D">
        <w:rPr>
          <w:b/>
          <w:sz w:val="26"/>
          <w:szCs w:val="26"/>
        </w:rPr>
        <w:t>В</w:t>
      </w:r>
      <w:r w:rsidRPr="0037464D">
        <w:rPr>
          <w:rFonts w:eastAsia="Calibri"/>
          <w:b/>
          <w:sz w:val="26"/>
          <w:szCs w:val="26"/>
        </w:rPr>
        <w:t xml:space="preserve"> номинации</w:t>
      </w:r>
      <w:r w:rsidRPr="0037464D">
        <w:rPr>
          <w:b/>
          <w:sz w:val="26"/>
          <w:szCs w:val="26"/>
        </w:rPr>
        <w:t xml:space="preserve"> «</w:t>
      </w:r>
      <w:r w:rsidRPr="0037464D">
        <w:rPr>
          <w:b/>
          <w:i/>
          <w:sz w:val="26"/>
          <w:szCs w:val="26"/>
          <w:lang w:eastAsia="en-US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Pr="0037464D">
        <w:rPr>
          <w:b/>
          <w:sz w:val="26"/>
          <w:szCs w:val="26"/>
        </w:rPr>
        <w:t xml:space="preserve">: </w:t>
      </w:r>
    </w:p>
    <w:p w:rsidR="0037464D" w:rsidRDefault="0037464D" w:rsidP="0037464D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во </w:t>
      </w:r>
      <w:r>
        <w:rPr>
          <w:rFonts w:eastAsia="Calibri"/>
          <w:b/>
          <w:sz w:val="26"/>
          <w:szCs w:val="26"/>
          <w:lang w:val="en-US" w:eastAsia="en-US"/>
        </w:rPr>
        <w:t>II</w:t>
      </w:r>
      <w:r>
        <w:rPr>
          <w:rFonts w:eastAsia="Calibri"/>
          <w:b/>
          <w:sz w:val="26"/>
          <w:szCs w:val="26"/>
          <w:lang w:eastAsia="en-US"/>
        </w:rPr>
        <w:t xml:space="preserve"> категории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«Сельские поселения </w:t>
      </w:r>
      <w:r>
        <w:rPr>
          <w:rFonts w:eastAsia="Calibri"/>
          <w:sz w:val="26"/>
          <w:szCs w:val="26"/>
          <w:lang w:eastAsia="en-US"/>
        </w:rPr>
        <w:t>Ленинградской области»:</w:t>
      </w:r>
    </w:p>
    <w:p w:rsidR="0037464D" w:rsidRDefault="0037464D" w:rsidP="0037464D">
      <w:pPr>
        <w:widowControl w:val="0"/>
        <w:spacing w:before="19" w:line="223" w:lineRule="auto"/>
        <w:ind w:left="36" w:right="102" w:firstLine="52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 место</w:t>
      </w:r>
      <w:r>
        <w:rPr>
          <w:rFonts w:eastAsia="Calibri"/>
          <w:sz w:val="26"/>
          <w:szCs w:val="26"/>
          <w:lang w:eastAsia="en-US"/>
        </w:rPr>
        <w:t xml:space="preserve"> - муниципальное образование </w:t>
      </w:r>
      <w:proofErr w:type="spellStart"/>
      <w:r>
        <w:rPr>
          <w:rFonts w:eastAsia="Calibri"/>
          <w:sz w:val="26"/>
          <w:szCs w:val="26"/>
          <w:lang w:eastAsia="en-US"/>
        </w:rPr>
        <w:t>Дубровское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городское поселение Всеволожского муниципального района Ленинградской области.</w:t>
      </w:r>
    </w:p>
    <w:p w:rsidR="0037464D" w:rsidRDefault="0037464D" w:rsidP="0037464D">
      <w:pPr>
        <w:widowControl w:val="0"/>
        <w:spacing w:before="19" w:line="223" w:lineRule="auto"/>
        <w:ind w:left="36" w:right="102" w:firstLine="522"/>
        <w:jc w:val="both"/>
        <w:rPr>
          <w:rFonts w:eastAsia="Calibri"/>
          <w:sz w:val="26"/>
          <w:szCs w:val="26"/>
          <w:lang w:eastAsia="en-US"/>
        </w:rPr>
      </w:pPr>
    </w:p>
    <w:p w:rsidR="0037464D" w:rsidRDefault="0037464D" w:rsidP="0037464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37464D" w:rsidRPr="0037464D" w:rsidRDefault="0037464D" w:rsidP="0037464D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rFonts w:eastAsia="Calibri"/>
          <w:b/>
          <w:i/>
          <w:sz w:val="26"/>
          <w:szCs w:val="26"/>
        </w:rPr>
      </w:pPr>
      <w:bookmarkStart w:id="0" w:name="_GoBack"/>
      <w:bookmarkEnd w:id="0"/>
      <w:r w:rsidRPr="0037464D">
        <w:rPr>
          <w:b/>
          <w:sz w:val="26"/>
          <w:szCs w:val="26"/>
        </w:rPr>
        <w:t>В</w:t>
      </w:r>
      <w:r w:rsidRPr="0037464D">
        <w:rPr>
          <w:rFonts w:eastAsia="Calibri"/>
          <w:b/>
          <w:sz w:val="26"/>
          <w:szCs w:val="26"/>
        </w:rPr>
        <w:t xml:space="preserve"> номинации </w:t>
      </w:r>
      <w:r w:rsidRPr="0037464D">
        <w:rPr>
          <w:rFonts w:eastAsia="Calibri"/>
          <w:b/>
          <w:i/>
          <w:sz w:val="26"/>
          <w:szCs w:val="26"/>
        </w:rPr>
        <w:t>«Модернизация городского хозяйства посредством внедрения цифровых технологий и платформенных решений («умный город»)»:</w:t>
      </w:r>
    </w:p>
    <w:p w:rsidR="0037464D" w:rsidRDefault="0037464D" w:rsidP="0037464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«Городской округ и городские поселения Ленинградской области»:</w:t>
      </w:r>
    </w:p>
    <w:p w:rsidR="0037464D" w:rsidRDefault="0037464D" w:rsidP="0037464D">
      <w:pPr>
        <w:widowControl w:val="0"/>
        <w:spacing w:before="41" w:line="232" w:lineRule="auto"/>
        <w:ind w:left="54" w:right="7" w:firstLine="522"/>
        <w:jc w:val="both"/>
        <w:rPr>
          <w:sz w:val="26"/>
          <w:szCs w:val="26"/>
        </w:rPr>
      </w:pPr>
      <w:r>
        <w:rPr>
          <w:b/>
          <w:sz w:val="26"/>
          <w:szCs w:val="26"/>
        </w:rPr>
        <w:t>1 место</w:t>
      </w:r>
      <w:r>
        <w:rPr>
          <w:sz w:val="26"/>
          <w:szCs w:val="26"/>
        </w:rPr>
        <w:t xml:space="preserve"> – муниципальное образование Тихвинское городское поселение Тихвинского муниципального района Ленинградской области;</w:t>
      </w:r>
    </w:p>
    <w:p w:rsidR="0037464D" w:rsidRDefault="0037464D" w:rsidP="0037464D">
      <w:pPr>
        <w:widowControl w:val="0"/>
        <w:spacing w:before="39" w:line="208" w:lineRule="auto"/>
        <w:ind w:left="45" w:right="90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2 место</w:t>
      </w:r>
      <w:r>
        <w:rPr>
          <w:sz w:val="26"/>
          <w:szCs w:val="26"/>
        </w:rPr>
        <w:t xml:space="preserve"> – муниципальное образование «Город Ивангород»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области;</w:t>
      </w:r>
    </w:p>
    <w:p w:rsidR="0037464D" w:rsidRDefault="0037464D" w:rsidP="0037464D">
      <w:pPr>
        <w:widowControl w:val="0"/>
        <w:spacing w:before="72" w:line="208" w:lineRule="auto"/>
        <w:ind w:left="45" w:right="90" w:firstLine="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3 место</w:t>
      </w:r>
      <w:r>
        <w:rPr>
          <w:sz w:val="26"/>
          <w:szCs w:val="26"/>
        </w:rPr>
        <w:t xml:space="preserve"> – муниципальное образование </w:t>
      </w:r>
      <w:r>
        <w:rPr>
          <w:rFonts w:eastAsia="Consolas"/>
          <w:color w:val="000000"/>
          <w:sz w:val="26"/>
          <w:szCs w:val="26"/>
        </w:rPr>
        <w:t xml:space="preserve">- </w:t>
      </w:r>
      <w:r>
        <w:rPr>
          <w:rFonts w:eastAsia="Consolas"/>
          <w:color w:val="000000"/>
          <w:position w:val="-1"/>
          <w:sz w:val="26"/>
          <w:szCs w:val="26"/>
        </w:rPr>
        <w:t>«</w:t>
      </w:r>
      <w:r>
        <w:rPr>
          <w:sz w:val="26"/>
          <w:szCs w:val="26"/>
        </w:rPr>
        <w:t>Город Гатчина» Гатчинского муниципального района Ленинградской области.</w:t>
      </w:r>
    </w:p>
    <w:p w:rsidR="0037464D" w:rsidRDefault="0037464D" w:rsidP="0037464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«Сельские поселения Ленинградской области»:</w:t>
      </w:r>
    </w:p>
    <w:p w:rsidR="0037464D" w:rsidRDefault="0037464D" w:rsidP="0037464D">
      <w:pPr>
        <w:widowControl w:val="0"/>
        <w:spacing w:line="206" w:lineRule="auto"/>
        <w:ind w:left="45" w:right="-1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 место</w:t>
      </w:r>
      <w:r>
        <w:rPr>
          <w:sz w:val="26"/>
          <w:szCs w:val="26"/>
        </w:rPr>
        <w:t xml:space="preserve"> - муниципальное образование Петровское сельское поселение </w:t>
      </w:r>
      <w:proofErr w:type="spellStart"/>
      <w:r>
        <w:rPr>
          <w:sz w:val="26"/>
          <w:szCs w:val="26"/>
        </w:rPr>
        <w:t>Приозерского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области;</w:t>
      </w:r>
    </w:p>
    <w:p w:rsidR="0037464D" w:rsidRDefault="0037464D" w:rsidP="0037464D">
      <w:pPr>
        <w:widowControl w:val="0"/>
        <w:spacing w:before="67" w:line="297" w:lineRule="exact"/>
        <w:ind w:right="-20" w:firstLine="585"/>
        <w:jc w:val="both"/>
        <w:rPr>
          <w:sz w:val="26"/>
          <w:szCs w:val="26"/>
        </w:rPr>
      </w:pPr>
      <w:r>
        <w:rPr>
          <w:b/>
          <w:sz w:val="26"/>
          <w:szCs w:val="26"/>
        </w:rPr>
        <w:t>2 место</w:t>
      </w:r>
      <w:r>
        <w:rPr>
          <w:sz w:val="26"/>
          <w:szCs w:val="26"/>
        </w:rPr>
        <w:t xml:space="preserve"> - муниципальное образование Сосновское сельское поселение </w:t>
      </w:r>
      <w:proofErr w:type="spellStart"/>
      <w:r>
        <w:rPr>
          <w:sz w:val="26"/>
          <w:szCs w:val="26"/>
        </w:rPr>
        <w:t>Приозерского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3744A0" w:rsidRDefault="003744A0"/>
    <w:sectPr w:rsidR="0037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025"/>
    <w:multiLevelType w:val="hybridMultilevel"/>
    <w:tmpl w:val="33FC9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8257A6"/>
    <w:multiLevelType w:val="hybridMultilevel"/>
    <w:tmpl w:val="9AAEA2F2"/>
    <w:lvl w:ilvl="0" w:tplc="F12E2C94">
      <w:start w:val="5"/>
      <w:numFmt w:val="decimal"/>
      <w:lvlText w:val="%1."/>
      <w:lvlJc w:val="left"/>
      <w:pPr>
        <w:ind w:left="142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861CC0"/>
    <w:multiLevelType w:val="hybridMultilevel"/>
    <w:tmpl w:val="3C26D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CA6651"/>
    <w:multiLevelType w:val="hybridMultilevel"/>
    <w:tmpl w:val="9D1CC642"/>
    <w:lvl w:ilvl="0" w:tplc="37041A4E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02B48"/>
    <w:multiLevelType w:val="hybridMultilevel"/>
    <w:tmpl w:val="4A8E8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43228F"/>
    <w:multiLevelType w:val="hybridMultilevel"/>
    <w:tmpl w:val="21B20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385534"/>
    <w:multiLevelType w:val="hybridMultilevel"/>
    <w:tmpl w:val="DD50D47C"/>
    <w:lvl w:ilvl="0" w:tplc="F8AEEA5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D"/>
    <w:rsid w:val="003744A0"/>
    <w:rsid w:val="0037464D"/>
    <w:rsid w:val="006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2</cp:revision>
  <dcterms:created xsi:type="dcterms:W3CDTF">2023-08-08T12:02:00Z</dcterms:created>
  <dcterms:modified xsi:type="dcterms:W3CDTF">2023-08-08T12:02:00Z</dcterms:modified>
</cp:coreProperties>
</file>