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D6" w:rsidRPr="00D84DD6" w:rsidRDefault="00D84DD6" w:rsidP="00D84DD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Уважаемый Александр Юрьевич!</w:t>
      </w:r>
    </w:p>
    <w:p w:rsidR="00D84DD6" w:rsidRPr="00D84DD6" w:rsidRDefault="00D84DD6" w:rsidP="00D84DD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4DD6">
        <w:rPr>
          <w:rFonts w:ascii="Times New Roman" w:hAnsi="Times New Roman" w:cs="Times New Roman"/>
          <w:sz w:val="24"/>
          <w:szCs w:val="24"/>
        </w:rPr>
        <w:t>Уважаемые члены Правительства, уважаемые участники заседания!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Оценка эффективности деятельности органов местного самоуправления проводится ежегодно во  исполнение  Указа  Президента  Российской  Федерации  от  28  апреля  2008  года  № 607.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Этот год для нас также не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стал исключением и мы в очередной раз подводим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итоги.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Для проведения оценки на федеральном уровне утверждены (постановлением Правительства  Российской Федерации №1317 от 17.12.2012):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- методика мониторинга;  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типовая форма доклада глав администраций;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методические рекомендации о выделении из бюджета субъекта грантов муниципальным образованиям;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и перечень показателей.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Здесь хочу обратить внимание, что для оценки могут использоваться только те показатели, которые утверждены на федеральном уровне, органами исполнительной власти субъектов не допускается установление дополнительных показателей.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обеспечения проведения мониторинга на региональном уровне приняты постановления регламентирующие: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порядок проведения мониторинга;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определения размера грантов;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и порядок проведения социологических опросов.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за 2018 год в качестве исходной информации использовались: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данные органов местного самоуправления,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данные органов исполнительной власти,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и официальная статистическая информация.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Мониторинг проводился по 9 направлениям деятельности в разрезе 39 показателей, характеризующих  уровень  экономического  развития,  положение  в дошкольном и общем образовании, культуре, жилищно-коммунальном хозяйстве и в целом  организацию местного самоуправления на муниципальном уровне.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Перечень показателей, который использовался для оценки в этом году, остался неизменным относительно предыдущего года.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К 1 мая все районы и городской округ подготовили доклады глав администраций о достигнутых значениях показателей по типовой форме и разместили их на своих сайтах.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Органы исполнительной власти, участвующие в оценке (15), согласовывали значения показателей, представленных в докладах глав, и осуществляли подготовку текстовых частей докладов.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В свою очередь мы на основании этой информации сформировали Сводный доклад за 2018 год, в соответствии со структурой, определенной методическими рекомендациями Минэкономразвития.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В последнем разделе доклада приводится распределение муниципальных районов и городского округа по итогам 2018 года в зависимости от достигнутых значений комплексной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>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Комплексная оценка рассчитывается в соответствии с рекомендациями постановления Правительства Российской Федерации № 1317 с помощью ряда формул. В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году, как и в прошлом, расчет комплексной оценки проводился по 14 показателям.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Хочу отметить, что существенное влияние на рейтинг оказывает  изменение  значения  показателя за определенный период. То есть у муниципального  образования  может  быть наибольшее  значение  показателя  за отчетный  год,  но  с  учетом  динамики оно может занять невысокую позицию в рейтинге. По сути, осуществляется оценка эффективности работы муниципалитетов не за один, а за три года.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Теперь перейду к тому, что у нас получилось по распределению муниципальных образований за 2018 год: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Первое место –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муниципальный район, второе – Выборгский, третье – Всеволожский.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Если говорить о результатах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муниципального района, то он уже занимал первое место по итогам 2013 года, а в прошлом году был пятым.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На итоговое место района в наибольшей степени повлияло: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постоянное сокращение доли дорог, не отвечающих нормативным требованиям, в течение всего анализируемого периода;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- 100% соответствие всех муниципальных общеобразовательных учреждений, современным требованиям обучения;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увеличение и практически наибольший охват (85,7%) детей, получающих услуги по дополнительному образованию;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постоянный рост доли многоквартирных домов, расположенных на земельных участках, в отношении которых осуществлен кадастровый учет;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наибольшее значение доли среднесписочной численности работников малых и средних предприятий (50,8%);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Также повлияла удовлетворенность населения деятельностью органов местного самоуправления (75%). По этому показателю район в первой тройке.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Следующим идет Выборгский район, который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становился первым по итогам 2009 и 2011 годов и значительно улучшил свою позицию в сравнении с прошлым годом переместившись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с 17 места на 2.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Такое значительное изменение позиции района обусловлено достижением средних значений по большинству показателей и положительной динамикой.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>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постоянно снижалось значение показателя «доля детей, стоящих на учете для определения в дошкольные образовательные учреждения» и в отчетном году по данному показателю у района наименьшее значение (0,2%) из числа тех муниципальных образований у кого существует очередь;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lastRenderedPageBreak/>
        <w:t>- есть значительный рост объема инвестиций в сравнении с предыдущим периодом и достаточно большое значение по показателю;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Также по показателю удовлетворенность населения деятельностью органов местного самоуправления у района лучшее значение – 82%.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Дальше идет Всеволожский муниципальный район, который был первым по итогам 2008 года, после чего 9 лет не входил в первую тройку.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И вот теперь, переместившись с 10 места по итогам прошлого года, стал третьим.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Здесь стоит отметить: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наибольший темп роста по показателю «Число субъектов малого и среднего предпринимательства»;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постоянный рост доли многоквартирных домов, расположенных на земельных участках, в отношении которых осуществлен кадастровый учет;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сокращение и сравнительно небольшое значение (30%) доли дорог, не отвечающих нормативным требованиям;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а также наибольшее значение по показателю «Общая площадь жилых помещений, введенная в действие за год, приходящаяся в среднем на одного жителя».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Следующими после первой тройки идут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D84DD6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муниципальные районы, занявшие 4 и 5 места, переместившись с 14 и 4 мест соответственно.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В Сланцевском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большинство показателей улучшились.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отмечается увеличение: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числа субъектов малого и среднего предпринимательства;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доли среднесписочной численности работников малых и средних предприятий;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объема инвестиций в основной капитал;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площади жилых помещений, введенной в действие за год;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также на итоговое место повлияло сокращение доли протяженности автомобильных дорог, не отвечающих нормативным требованиям (с 60% до 27,8%).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значения многих показателей, используемых для расчета комплексной оценки, также улучшились.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В том числе выросла удовлетворенность населения деятельностью органов местного самоуправления (с 69% до 71%) и значительно увеличился объем инвестиций.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район в этом году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стал 6-ым сменив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1 место по итогам распределения в прошлом году, что связано с: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сокращением в течение нескольких лет значения показателя «Общая площадь жилых помещений, введенная в действие за год»;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сокращением объема инвестиций в отчетном году;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ростом доли дорог, не отвечающих нормативным требованиям.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сравнении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с рейтингом за 2017 год на две позиции вверх переместились Гатчинский район с 9 места на 7 и Кировский с 11 на 9.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У обоих районов отмечается увеличение: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числа субъектов малого и среднего предпринимательства;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объема инвестиций;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доли детей, получающих услуги по дополнительному образованию;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доли муниципальных общеобразовательных учреждений, соответствующих современным требованиям обучения.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4DD6">
        <w:rPr>
          <w:rFonts w:ascii="Times New Roman" w:hAnsi="Times New Roman" w:cs="Times New Roman"/>
          <w:sz w:val="24"/>
          <w:szCs w:val="24"/>
        </w:rPr>
        <w:t>Рядом с Гатчинским и Кировским районами, 8 место занял Тихвинский, который практически не изменил свою позицию по сравнению с рейтингом по итогам 2017 года, где был 7.</w:t>
      </w:r>
      <w:proofErr w:type="gramEnd"/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Тосненский и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районы заняли 10 и 11 места переместившись с 6-го и 8-го.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На снижение Тосненского района в рейтинге повлияло значение и динамика показателя «Объем инвестиций», «Доля населения, получившего жилые помещения», недостаточный средний темп роста по доле налоговых и неналоговых доходов местного бюджета.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У Ломоносовского района в числе наименьших значения по среднему темпу роста и объему показателя «удовлетворенность населения деятельностью органов местного самоуправления» (67%), небольшое значение и незначительная динамика по показателям «Доля детей, получающих услуги по дополнительному образованию» и «Доля многоквартирных домов, расположенных на земельных участках, в отношении которых осуществлен кадастровый учет».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Дальше, также негативные изменения: это падение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городского округа с 3 места на 12 и Волховского района с 2 на 15.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На результат городского округа повлияло увеличение более чем в 4 раза, по сравнению с предшествующим годом, доли протяженности автомобильных дорог, не отвечающих нормативным требованиям (69,9%).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Также Сосновоборский городской округ много потерял на показателе «Число субъектов малого и среднего предпринимательства», «Доля среднесписочной численности работников малых и средних предприятий».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Плюс значение показателя «Доля детей, стоящих на учете для определения в муниципальные дошкольные образовательные учреждения» (11,5%), по которому городской округ уступил только Всеволожскому району.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На результат Волховского района повлияло: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наименьшее значение «Числа субъектов малого и среднего предпринимательства» в отчетном году;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небольшой рост и объем инвестиций;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сокращение площади жилых помещений, введенной в действие за год, и доли населения, улучшившего жилищные условия (с 17,4% до 9,41%).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Также повлиял средний темп роста показателя «Доля детей, получающих услуги по дополнительному образованию», который низкий по сравнению с остальными.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lastRenderedPageBreak/>
        <w:t xml:space="preserve">К стабильному положению можно отнести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муниципальный район, который сохранил 13 место.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Следом за ним идет Лодейнопольский район, который переместился с 12 на 14 место.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Также на небольшое количество позиций вниз переместились Бокситогорский район с 16 места на 17 и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с 15 на 18.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Факторами, повлиявшими на расположение трех районов в рейтинге стали минимальные значения: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по объему инвестиций;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по доле налоговых и неналоговых доходов местного бюджета (за исключением Бокситогорского района);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по показателю «Доля детей, получающих услуги по дополнительному образованию»;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по показателю «Удовлетворенность населения деятельностью органов местного самоуправления»;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а также повлияли наибольшие значения по потреблению электрической энергии муниципальными бюджетными учреждениями и доле дорог, не отвечающих нормативным требованиям.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При этом в части дорог стоит отметить, что значение показателя у всех троих снижается, что соответственно положительно сказывается на общей оценке по показателю.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Из позитивных изменений также стоит отметить Кингисеппский район, который единственный в нижней части рейтинга перемесился немного, но вверх и занял 16 место, а по итогам 2017 года был последним.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С общим распределением муниципальных районов и городского округа это все.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Теперь перейду к муниципальным образованиям-получателям грантов,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что тут хочу сказать: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lastRenderedPageBreak/>
        <w:t xml:space="preserve">В прошлом году, по итогам доклада об оценке, Александром Юрьевичем было дано поручение увеличить объем средств, направляемых на гранты с 30 до 50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рублей и количество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>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Мы совместно с Комитетом финансов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проработали данный вопрос и было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принято решение о выделении грантов 2 группам муниципальных образований.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В I группу входят 5 муниципальных образований, имеющих за отчетный год наилучшие результаты комплексной оценки, между ними в этом году распределяются 45 млн.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Во II группе 2 муниципальных образования, которым предусмотрено 5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Для определения получателей грантов во II группе, мы взяли показатели оценки органов местного самоуправления, которые входят в число основных показателей социально-экономического развития Ленинградской области, а также влияют на показатели оценки субъекта, и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у кого лучшая динамика по этим показателям будут предоставлены гранты.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Соответственно в этом году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грантополучателями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, Выборгский, Всеволожский,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муниципальные районы – это I группа,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Гатчинский и Ломоносовский муниципальные районы – II группа.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Таким образом, за достижение наилучших значений показателей по итогам 2018 года сумма гранта за 1-е место составляет 12 786 тысяч рублей; 2-е место – 10 136 тысяч рублей; 3-е место – 9 896 тысяч рублей; 4-е место – 6 114 тысяч рублей; 5-е место – 6 068 тысяч рублей.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Во II группе за динамику два гранта – 2 512 тысяч рублей и 2 488.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84DD6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D84DD6">
        <w:rPr>
          <w:rFonts w:ascii="Times New Roman" w:hAnsi="Times New Roman" w:cs="Times New Roman"/>
          <w:sz w:val="24"/>
          <w:szCs w:val="24"/>
        </w:rPr>
        <w:t xml:space="preserve"> сентября/начале октября гранты будут перечислены на счета администраций муниципальных образований – победителей.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 xml:space="preserve">Также хочу напомнить, что в прошлом году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грантополучателями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были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, Волховский,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DD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D84DD6">
        <w:rPr>
          <w:rFonts w:ascii="Times New Roman" w:hAnsi="Times New Roman" w:cs="Times New Roman"/>
          <w:sz w:val="24"/>
          <w:szCs w:val="24"/>
        </w:rPr>
        <w:t xml:space="preserve"> муниципальные районы и Сосновоборский городской округ.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Выделенные данным муниципальным образованиям гранты были направлены: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- на ремонт, содержание и реконструкцию общеобразовательных учреждений, ремонт учреждения дополнительного образования, на мероприятия в области культуры, оплату работ по благоустройству, строительство спортивной площадки, и некоторые другие цели.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DD6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D84DD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2B16" w:rsidRPr="00D84DD6" w:rsidRDefault="00D84DD6" w:rsidP="00D84DD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C2B16" w:rsidRPr="00D8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7D"/>
    <w:rsid w:val="00145E47"/>
    <w:rsid w:val="007B5AA5"/>
    <w:rsid w:val="00AA73BC"/>
    <w:rsid w:val="00BC3FD8"/>
    <w:rsid w:val="00D84DD6"/>
    <w:rsid w:val="00DE614B"/>
    <w:rsid w:val="00E1106B"/>
    <w:rsid w:val="00E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Николаевна ГУСЕВА</dc:creator>
  <cp:lastModifiedBy>Эльвира Николаевна ГУСЕВА</cp:lastModifiedBy>
  <cp:revision>2</cp:revision>
  <dcterms:created xsi:type="dcterms:W3CDTF">2019-09-27T08:10:00Z</dcterms:created>
  <dcterms:modified xsi:type="dcterms:W3CDTF">2019-09-27T08:10:00Z</dcterms:modified>
</cp:coreProperties>
</file>