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МИНИСТЕРСТВО СТРОИТЕЛЬСТВА И ЖИЛИЩНО-КОММУНАЛЬНОГО</w:t>
      </w: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ХОЗЯЙСТВА РОССИЙСКОЙ ФЕДЕРАЦИИ</w:t>
      </w: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6 апреля 2017 г. N 690/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пр</w:t>
      </w:r>
      <w:proofErr w:type="spellEnd"/>
      <w:proofErr w:type="gramEnd"/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МЕТОДИКИ</w:t>
      </w: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ОЦЕНКИ КОНКУРСНЫХ ЗАЯВОК МУНИЦИПАЛЬНЫХ ОБРАЗОВАНИЙ,</w:t>
      </w: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ПРЕДСТАВЛЯЕМЫХ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ДЛЯ УЧАСТИЯ В НОМИНАЦИИ "ГРАДОСТРОИТЕЛЬНАЯ</w:t>
      </w: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ПОЛИТИКА, ОБЕСПЕЧЕНИЕ БЛАГОПРИЯТНОЙ СРЕДЫ ЖИЗНЕДЕЯТЕЛЬНОСТИ</w:t>
      </w: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НАСЕЛЕНИЯ И РАЗВИТИЕ ЖИЛИЩНО-КОММУНАЛЬНОГО ХОЗЯЙСТВА"</w:t>
      </w: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ВСЕРОССИЙСКОГО КОНКУРСА "ЛУЧШАЯ МУНИЦИПАЛЬНАЯ ПРАКТИКА"</w:t>
      </w: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пунктом 5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5335) приказываю:</w:t>
      </w:r>
    </w:p>
    <w:p w:rsidR="00446DC5" w:rsidRDefault="00446DC5" w:rsidP="00446D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методику оценки конкурсных заявок муниципальных образований, представляемых для участия в номинации "Градостроительная политика, обеспечение благоприятной среды жизнедеятельности населения и развитие жилищно-коммунального хозяйства" Всероссийского конкурса "Лучшая муниципальная практика" согласно </w:t>
      </w: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 xml:space="preserve"> к настоящему приказу.</w:t>
      </w:r>
    </w:p>
    <w:p w:rsidR="00446DC5" w:rsidRDefault="00446DC5" w:rsidP="00446D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Департаменту городской среды (О.Н. Демченко)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446DC5" w:rsidRDefault="00446DC5" w:rsidP="00446D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М.А.МЕНЬ</w:t>
      </w: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Утверждена</w:t>
      </w: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строительства</w:t>
      </w: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жилищно-коммунального хозяйства</w:t>
      </w: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6 апреля 2017 г. N 690/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пр</w:t>
      </w:r>
      <w:proofErr w:type="spellEnd"/>
      <w:proofErr w:type="gramEnd"/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33"/>
      <w:bookmarkEnd w:id="1"/>
      <w:r>
        <w:rPr>
          <w:rFonts w:ascii="Arial" w:hAnsi="Arial" w:cs="Arial"/>
          <w:b/>
          <w:bCs/>
          <w:sz w:val="20"/>
          <w:szCs w:val="20"/>
        </w:rPr>
        <w:t>МЕТОДИКА</w:t>
      </w: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ОЦЕНКИ КОНКУРСНЫХ ЗАЯВОК МУНИЦИПАЛЬНЫХ ОБРАЗОВАНИЙ,</w:t>
      </w: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ПРЕДСТАВЛЯЕМЫХ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ДЛЯ УЧАСТИЯ В НОМИНАЦИИ "ГРАДОСТРОИТЕЛЬНАЯ</w:t>
      </w: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ПОЛИТИКА, ОБЕСПЕЧЕНИЕ БЛАГОПРИЯТНОЙ СРЕДЫ ЖИЗНЕДЕЯТЕЛЬНОСТИ</w:t>
      </w: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НАСЕЛЕНИЯ И РАЗВИТИЕ ЖИЛИЩНО-КОММУНАЛЬНОГО ХОЗЯЙСТВА"</w:t>
      </w: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ВСЕРОССИЙСКОГО КОНКУРСА "ЛУЧШАЯ МУНИЦИПАЛЬНАЯ ПРАКТИКА"</w:t>
      </w: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Настоящей Методикой определяется порядок оценки конкурсных заявок муниципальных образований, представляемых для участия в номинации "Градостроительная политика, обеспечение благоприятной среды жизнедеятельности населения и развитие жилищно-коммунального хозяйства" Всероссийского конкурса "Лучшая муниципальная практика" (далее - конкурсная заявка).</w:t>
      </w:r>
    </w:p>
    <w:p w:rsidR="00446DC5" w:rsidRDefault="00446DC5" w:rsidP="00446D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Оценка конкурсных заявок осуществляется подкомиссией федеральной конкурсной комиссии по организации и проведению Всероссийского конкурса "Лучшая муниципальная практика" (далее - конкурс) по номинации "Градостроительная политика, обеспечение благоприятной среды жизнедеятельности населения и развитие жилищно-коммунального хозяйства" (далее - Подкомиссия).</w:t>
      </w:r>
    </w:p>
    <w:p w:rsidR="00446DC5" w:rsidRDefault="00446DC5" w:rsidP="00446D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Подкомиссия оценивает конкурсные заявки путем присвоения баллов по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пунктам 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11 раздела II</w:t>
        </w:r>
      </w:hyperlink>
      <w:r>
        <w:rPr>
          <w:rFonts w:ascii="Arial" w:hAnsi="Arial" w:cs="Arial"/>
          <w:sz w:val="20"/>
          <w:szCs w:val="20"/>
        </w:rPr>
        <w:t xml:space="preserve"> конкурсной заявки на основании показателей, предусмотренных 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Таблицей</w:t>
        </w:r>
      </w:hyperlink>
      <w:r>
        <w:rPr>
          <w:rFonts w:ascii="Arial" w:hAnsi="Arial" w:cs="Arial"/>
          <w:sz w:val="20"/>
          <w:szCs w:val="20"/>
        </w:rPr>
        <w:t xml:space="preserve">, содержащейся в </w:t>
      </w:r>
      <w:hyperlink w:anchor="Par43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настоящей Методики (далее - Таблица).</w:t>
      </w:r>
    </w:p>
    <w:p w:rsidR="00446DC5" w:rsidRDefault="00446DC5" w:rsidP="00446D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3"/>
      <w:bookmarkEnd w:id="2"/>
      <w:r>
        <w:rPr>
          <w:rFonts w:ascii="Arial" w:hAnsi="Arial" w:cs="Arial"/>
          <w:sz w:val="20"/>
          <w:szCs w:val="20"/>
        </w:rPr>
        <w:t>4. Показатели определяются с учетом следующего:</w:t>
      </w:r>
    </w:p>
    <w:p w:rsidR="00446DC5" w:rsidRDefault="00446DC5" w:rsidP="00446D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44"/>
      <w:bookmarkEnd w:id="3"/>
      <w:r>
        <w:rPr>
          <w:rFonts w:ascii="Arial" w:hAnsi="Arial" w:cs="Arial"/>
          <w:sz w:val="20"/>
          <w:szCs w:val="20"/>
        </w:rPr>
        <w:t xml:space="preserve">а) показателям, предусмотренным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пунктами 1.1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1.2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2.1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2.7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5.1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50" w:history="1">
        <w:r>
          <w:rPr>
            <w:rFonts w:ascii="Arial" w:hAnsi="Arial" w:cs="Arial"/>
            <w:color w:val="0000FF"/>
            <w:sz w:val="20"/>
            <w:szCs w:val="20"/>
          </w:rPr>
          <w:t>5.16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95" w:history="1">
        <w:r>
          <w:rPr>
            <w:rFonts w:ascii="Arial" w:hAnsi="Arial" w:cs="Arial"/>
            <w:color w:val="0000FF"/>
            <w:sz w:val="20"/>
            <w:szCs w:val="20"/>
          </w:rPr>
          <w:t>11.1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98" w:history="1">
        <w:r>
          <w:rPr>
            <w:rFonts w:ascii="Arial" w:hAnsi="Arial" w:cs="Arial"/>
            <w:color w:val="0000FF"/>
            <w:sz w:val="20"/>
            <w:szCs w:val="20"/>
          </w:rPr>
          <w:t>11.2</w:t>
        </w:r>
      </w:hyperlink>
      <w:r>
        <w:rPr>
          <w:rFonts w:ascii="Arial" w:hAnsi="Arial" w:cs="Arial"/>
          <w:sz w:val="20"/>
          <w:szCs w:val="20"/>
        </w:rPr>
        <w:t xml:space="preserve"> Таблицы, членами Подкомиссии присваиваются баллы в диапазоне, указанном в 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Таблице</w:t>
        </w:r>
      </w:hyperlink>
      <w:r>
        <w:rPr>
          <w:rFonts w:ascii="Arial" w:hAnsi="Arial" w:cs="Arial"/>
          <w:sz w:val="20"/>
          <w:szCs w:val="20"/>
        </w:rPr>
        <w:t>, в зависимости от того, в какой степени, по мнению члена подкомиссии, данный показатель применим к оцениваемой практике;</w:t>
      </w:r>
    </w:p>
    <w:p w:rsidR="00446DC5" w:rsidRDefault="00446DC5" w:rsidP="00446D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45"/>
      <w:bookmarkEnd w:id="4"/>
      <w:r>
        <w:rPr>
          <w:rFonts w:ascii="Arial" w:hAnsi="Arial" w:cs="Arial"/>
          <w:sz w:val="20"/>
          <w:szCs w:val="20"/>
        </w:rPr>
        <w:t xml:space="preserve">б) показателям, предусмотренным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пунктами 3.1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91" w:history="1">
        <w:r>
          <w:rPr>
            <w:rFonts w:ascii="Arial" w:hAnsi="Arial" w:cs="Arial"/>
            <w:color w:val="0000FF"/>
            <w:sz w:val="20"/>
            <w:szCs w:val="20"/>
          </w:rPr>
          <w:t>3.3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3.5</w:t>
        </w:r>
      </w:hyperlink>
      <w:r>
        <w:rPr>
          <w:rFonts w:ascii="Arial" w:hAnsi="Arial" w:cs="Arial"/>
          <w:sz w:val="20"/>
          <w:szCs w:val="20"/>
        </w:rPr>
        <w:t xml:space="preserve"> Таблицы, присваиваются баллы в соответствии с долей внебюджетных средств в общей стоимости практики (например, 1% - 0,1; 2% - 0,2; 100% - 1);</w:t>
      </w:r>
    </w:p>
    <w:p w:rsidR="00446DC5" w:rsidRDefault="00446DC5" w:rsidP="00446D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показателям, предусмотренным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пунктами 3.4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5.1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54" w:history="1">
        <w:r>
          <w:rPr>
            <w:rFonts w:ascii="Arial" w:hAnsi="Arial" w:cs="Arial"/>
            <w:color w:val="0000FF"/>
            <w:sz w:val="20"/>
            <w:szCs w:val="20"/>
          </w:rPr>
          <w:t>6.1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60" w:history="1">
        <w:r>
          <w:rPr>
            <w:rFonts w:ascii="Arial" w:hAnsi="Arial" w:cs="Arial"/>
            <w:color w:val="0000FF"/>
            <w:sz w:val="20"/>
            <w:szCs w:val="20"/>
          </w:rPr>
          <w:t>6.3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67" w:history="1">
        <w:r>
          <w:rPr>
            <w:rFonts w:ascii="Arial" w:hAnsi="Arial" w:cs="Arial"/>
            <w:color w:val="0000FF"/>
            <w:sz w:val="20"/>
            <w:szCs w:val="20"/>
          </w:rPr>
          <w:t>7.1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76" w:history="1">
        <w:r>
          <w:rPr>
            <w:rFonts w:ascii="Arial" w:hAnsi="Arial" w:cs="Arial"/>
            <w:color w:val="0000FF"/>
            <w:sz w:val="20"/>
            <w:szCs w:val="20"/>
          </w:rPr>
          <w:t>7.4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80" w:history="1">
        <w:r>
          <w:rPr>
            <w:rFonts w:ascii="Arial" w:hAnsi="Arial" w:cs="Arial"/>
            <w:color w:val="0000FF"/>
            <w:sz w:val="20"/>
            <w:szCs w:val="20"/>
          </w:rPr>
          <w:t>8.1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87" w:history="1">
        <w:r>
          <w:rPr>
            <w:rFonts w:ascii="Arial" w:hAnsi="Arial" w:cs="Arial"/>
            <w:color w:val="0000FF"/>
            <w:sz w:val="20"/>
            <w:szCs w:val="20"/>
          </w:rPr>
          <w:t>9.2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01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Таблицы, в случае положительного ответа присваивается индекс 5, в случае отрицательного - 0;</w:t>
      </w:r>
    </w:p>
    <w:p w:rsidR="00446DC5" w:rsidRDefault="00446DC5" w:rsidP="00446D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показателям, предусмотренным </w:t>
      </w:r>
      <w:hyperlink w:anchor="Par163" w:history="1">
        <w:r>
          <w:rPr>
            <w:rFonts w:ascii="Arial" w:hAnsi="Arial" w:cs="Arial"/>
            <w:color w:val="0000FF"/>
            <w:sz w:val="20"/>
            <w:szCs w:val="20"/>
          </w:rPr>
          <w:t>пунктами 6.4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84" w:history="1">
        <w:r>
          <w:rPr>
            <w:rFonts w:ascii="Arial" w:hAnsi="Arial" w:cs="Arial"/>
            <w:color w:val="0000FF"/>
            <w:sz w:val="20"/>
            <w:szCs w:val="20"/>
          </w:rPr>
          <w:t>9.1</w:t>
        </w:r>
      </w:hyperlink>
      <w:r>
        <w:rPr>
          <w:rFonts w:ascii="Arial" w:hAnsi="Arial" w:cs="Arial"/>
          <w:sz w:val="20"/>
          <w:szCs w:val="20"/>
        </w:rPr>
        <w:t xml:space="preserve"> Таблицы, в случае положительного ответа присваивается индекс 10, в случае отрицательного - 0;</w:t>
      </w:r>
    </w:p>
    <w:p w:rsidR="00446DC5" w:rsidRDefault="00446DC5" w:rsidP="00446D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48"/>
      <w:bookmarkEnd w:id="5"/>
      <w:r>
        <w:rPr>
          <w:rFonts w:ascii="Arial" w:hAnsi="Arial" w:cs="Arial"/>
          <w:sz w:val="20"/>
          <w:szCs w:val="20"/>
        </w:rPr>
        <w:t xml:space="preserve">д) показателю, предусмотренному </w:t>
      </w:r>
      <w:hyperlink w:anchor="Par191" w:history="1">
        <w:r>
          <w:rPr>
            <w:rFonts w:ascii="Arial" w:hAnsi="Arial" w:cs="Arial"/>
            <w:color w:val="0000FF"/>
            <w:sz w:val="20"/>
            <w:szCs w:val="20"/>
          </w:rPr>
          <w:t>пунктом 10.1</w:t>
        </w:r>
      </w:hyperlink>
      <w:r>
        <w:rPr>
          <w:rFonts w:ascii="Arial" w:hAnsi="Arial" w:cs="Arial"/>
          <w:sz w:val="20"/>
          <w:szCs w:val="20"/>
        </w:rPr>
        <w:t xml:space="preserve"> Таблицы, присваиваются баллы в соответствии с долей бюджетных средств в общей стоимости практики (до 50% - 5, 50% и более - 0).</w:t>
      </w: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6" w:name="Par50"/>
      <w:bookmarkEnd w:id="6"/>
      <w:r>
        <w:rPr>
          <w:rFonts w:ascii="Arial" w:hAnsi="Arial" w:cs="Arial"/>
          <w:sz w:val="20"/>
          <w:szCs w:val="20"/>
        </w:rPr>
        <w:t>Таблица</w:t>
      </w: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350"/>
        <w:gridCol w:w="1862"/>
      </w:tblGrid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п\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в баллах</w:t>
            </w:r>
          </w:p>
        </w:tc>
      </w:tr>
      <w:tr w:rsidR="00446D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bookmarkStart w:id="7" w:name="Par55"/>
            <w:bookmarkEnd w:id="7"/>
            <w:r>
              <w:rPr>
                <w:rFonts w:ascii="Arial" w:hAnsi="Arial" w:cs="Arial"/>
                <w:sz w:val="20"/>
                <w:szCs w:val="20"/>
              </w:rPr>
              <w:t>1. Краткое описание ситуации, обусловившей необходимость реализации практики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8" w:name="Par56"/>
            <w:bookmarkEnd w:id="8"/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Практика реализована в связи с необходимостью решения конкретной, острой проблемы в области градостроительной политики, обеспечения благоприятной среды жизнедеятельности населения или развития жилищно-коммунального хозяйства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0 - 10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9" w:name="Par59"/>
            <w:bookmarkEnd w:id="9"/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Практика реализована в целях повышения качества жизни на территории муниципального образования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0 - 5</w:t>
            </w:r>
          </w:p>
        </w:tc>
      </w:tr>
      <w:tr w:rsidR="00446D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Проблемы, которые должны были быть решены реализацией практики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0" w:name="Par63"/>
            <w:bookmarkEnd w:id="10"/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Реализованная практика выполнена с целью решения проблемы или комплекс проблем, типичных для целого ряда российских муниципальных образований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0 - 10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Реализованная практика обеспечила решение конкретной задачи в рамках стратегии развития муниципального образования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0 - 5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Реализованная практика обеспечила решение задачи лучшей связанности и транспортной доступности объектов и услуг на территории муниципального образования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0 - 10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Реализованная практика обеспечила решение проблемы вовлечения населения в процесс принятия решений в области градостроительной политики, обеспечения благоприятной среды жизнедеятельности населения или развития жилищно-коммунального хозяйства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0 - 10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Реализованная практика обеспечила решение проблемы приспособления к использованию объектов культурного наследия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0 - 5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Реализованная практика обеспечила улучшение экологической ситуации на территории муниципального образования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0 - 10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1" w:name="Par81"/>
            <w:bookmarkEnd w:id="11"/>
            <w:r>
              <w:rPr>
                <w:rFonts w:ascii="Arial" w:hAnsi="Arial" w:cs="Arial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Реализованная практика обеспечила решение проблем маломобильных групп населения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0 - 5</w:t>
            </w:r>
          </w:p>
        </w:tc>
      </w:tr>
      <w:tr w:rsidR="00446D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bookmarkStart w:id="12" w:name="Par84"/>
            <w:bookmarkEnd w:id="12"/>
            <w:r>
              <w:rPr>
                <w:rFonts w:ascii="Arial" w:hAnsi="Arial" w:cs="Arial"/>
                <w:sz w:val="20"/>
                <w:szCs w:val="20"/>
              </w:rPr>
              <w:t>3. Возможности (ресурсы), которые позволили реализовать практику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3" w:name="Par85"/>
            <w:bookmarkEnd w:id="13"/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Практика реализована с использованием грантов благотворительных организаций и/или средств общественных организаций, частных пожертвований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0 - 10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Практика реализована с использованием средств фондов местного сообщества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0 - 10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4" w:name="Par91"/>
            <w:bookmarkEnd w:id="14"/>
            <w:r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Практика реализована с привлечением средств граждан (средства самообложения граждан или иная форма)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0 - 10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5" w:name="Par94"/>
            <w:bookmarkEnd w:id="15"/>
            <w:r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Практика реализована с привлечением жителей как исполнителей работ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6" w:name="Par97"/>
            <w:bookmarkEnd w:id="16"/>
            <w:r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Практика реализована с привлечением частных инвестиций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0 - 10</w:t>
            </w:r>
          </w:p>
        </w:tc>
      </w:tr>
      <w:tr w:rsidR="00446D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Результаты реализации практики в измеримых величинах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Указаны результаты реализации практики, которые подтверждаются соответствующими значениями показателей, предусмотренными </w:t>
            </w:r>
            <w:hyperlink w:anchor="Par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пунктами 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1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настоящей Таблицы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46D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bookmarkStart w:id="17" w:name="Par104"/>
            <w:bookmarkEnd w:id="17"/>
            <w:r>
              <w:rPr>
                <w:rFonts w:ascii="Arial" w:hAnsi="Arial" w:cs="Arial"/>
                <w:sz w:val="20"/>
                <w:szCs w:val="20"/>
              </w:rPr>
              <w:t>5. Экономические и/или социальные эффекты от реализации практики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8" w:name="Par105"/>
            <w:bookmarkEnd w:id="18"/>
            <w:r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практики имеет результатом появление в муниципальном образовании востребованной общественной территории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0 - 5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практики имеет результатом уменьшение пользования личным автомобильным транспортом в пользу общественного транспорта (включая такси)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0 - 5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практики имеет результатом уменьшение пользования личным автомобильным транспортом в пользу пешеходного движения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0 - 10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практики имеет результатом снижение потребления энергии или других ресурсов на территории данного муниципального образования при сохранении качества жизни населения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0 - 5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практики имеет результатом создание механизма участия населения в принятии решений в области градостроительной политики, обеспечения благоприятной среды жизнедеятельности населения или развития жилищно-коммунального хозяйства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0 - 10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практики имеет результатом сохранение или создание уникальных объектов и пространств, или социальных, культурных, иных практик, присущих только данному муниципальному образованию.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0 - 5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практики имеет результатом повышение статуса жителя данного муниципального образования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0 - 5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практики имеет результатом экономию средств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бюджета муниципального образования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0 - 5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практики имеет результатом увеличение доходов муниципального бюджета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0 - 10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практики имеет результатом сбережение личного времени жителей муниципального образования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0 - 10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практики имеет результатом снижение угрозы травматизма, возникающего в связи с функционированием элементов городской инфраструктуры, благоустройства и транспорта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0 - 10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практики имеет результатом улучшение здоровья жителей муниципального образования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0 - 10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практики имеет результатом увеличение числа жителей муниципального образования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0 - 10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практики имеет результатом приток лиц, посещающих территорию муниципального образования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0 - 5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практики имеет результатом появление новых частных предприятий в области предоставления услуг для населения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0 - 10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9" w:name="Par150"/>
            <w:bookmarkEnd w:id="19"/>
            <w:r>
              <w:rPr>
                <w:rFonts w:ascii="Arial" w:hAnsi="Arial" w:cs="Arial"/>
                <w:sz w:val="20"/>
                <w:szCs w:val="20"/>
              </w:rPr>
              <w:t>5.16.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практики имеет результатом возникновение на территории муниципального образования объектов для осуществления предпринимательской деятельности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0 - 5</w:t>
            </w:r>
          </w:p>
        </w:tc>
      </w:tr>
      <w:tr w:rsidR="00446D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Выгодополучатели</w:t>
            </w:r>
            <w:proofErr w:type="spellEnd"/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0" w:name="Par154"/>
            <w:bookmarkEnd w:id="20"/>
            <w:r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Прямым получателем выгоды от реализации практики является орган местного самоуправления как орган, осуществляющий управление муниципальным хозяйством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Прямым получателем выгоды от реализации практики является идентифицируемая группа лиц (например, маломобильные группы населения)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1" w:name="Par160"/>
            <w:bookmarkEnd w:id="21"/>
            <w:r>
              <w:rPr>
                <w:rFonts w:ascii="Arial" w:hAnsi="Arial" w:cs="Arial"/>
                <w:sz w:val="20"/>
                <w:szCs w:val="20"/>
              </w:rPr>
              <w:t>6.3.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Прямым получателем выгоды от реализации практики являются лица, осуществляющие предпринимательскую деятельность в сфере предоставления услуг населению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2" w:name="Par163"/>
            <w:bookmarkEnd w:id="22"/>
            <w:r>
              <w:rPr>
                <w:rFonts w:ascii="Arial" w:hAnsi="Arial" w:cs="Arial"/>
                <w:sz w:val="20"/>
                <w:szCs w:val="20"/>
              </w:rPr>
              <w:t>6.4.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Прямыми получателями выгоды являются все жители муниципального образования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46D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Участники проекта внедрения практики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3" w:name="Par167"/>
            <w:bookmarkEnd w:id="23"/>
            <w:r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Реализованная практика выполнена по инициативе граждан, общественных организаций, объединений предпринимателей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Реализованная практика выполнена при активном участии представителей населения, общественных организаций, лиц, осуществляющих предпринимательскую деятельность, в разработке общей идеи, концепции и практики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Реализованная практика выполнена при активном участии представителей населения, общественных организаций, лиц, осуществляющих предпринимательскую деятельность,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разработке конкретных проектных решений или выборе вариантов проектных решений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4" w:name="Par176"/>
            <w:bookmarkEnd w:id="24"/>
            <w:r>
              <w:rPr>
                <w:rFonts w:ascii="Arial" w:hAnsi="Arial" w:cs="Arial"/>
                <w:sz w:val="20"/>
                <w:szCs w:val="20"/>
              </w:rPr>
              <w:lastRenderedPageBreak/>
              <w:t>7.4.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Реализованная практика выполнена при активном участии представителей населения, общественных организаций, лиц, осуществляющих предпринимательскую деятельность, во внедрении практики, ее реализации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46D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bookmarkStart w:id="25" w:name="Par179"/>
            <w:bookmarkEnd w:id="25"/>
            <w:r>
              <w:rPr>
                <w:rFonts w:ascii="Arial" w:hAnsi="Arial" w:cs="Arial"/>
                <w:sz w:val="20"/>
                <w:szCs w:val="20"/>
              </w:rPr>
              <w:t>8. Действия по развертыванию практики (перечень мероприятий, которые были предприняты для того, чтобы реализовать практику)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6" w:name="Par180"/>
            <w:bookmarkEnd w:id="26"/>
            <w:r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Представлен перечень мероприятий, которые были предприняты для того, чтобы реализовать практику (дорожная карта)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46D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Правовое обеспечение реализации практики (муниципальные правовые акты, разработанные или утвержденные с целью реализации практики)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7" w:name="Par184"/>
            <w:bookmarkEnd w:id="27"/>
            <w:r>
              <w:rPr>
                <w:rFonts w:ascii="Arial" w:hAnsi="Arial" w:cs="Arial"/>
                <w:sz w:val="20"/>
                <w:szCs w:val="20"/>
              </w:rPr>
              <w:t>9.1.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практики осуществлена без изменения существующей методологической и (или) нормативной базы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8" w:name="Par187"/>
            <w:bookmarkEnd w:id="28"/>
            <w:r>
              <w:rPr>
                <w:rFonts w:ascii="Arial" w:hAnsi="Arial" w:cs="Arial"/>
                <w:sz w:val="20"/>
                <w:szCs w:val="20"/>
              </w:rPr>
              <w:t>9.2.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практики осуществлена с изменением существующей методологической и (или) нормативной базы силами органов местного самоуправления при участии представителей экспертов, общественности и лиц, осуществляющих предпринимательскую деятельность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46D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Затраты на реализацию проекта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9" w:name="Par191"/>
            <w:bookmarkEnd w:id="29"/>
            <w:r>
              <w:rPr>
                <w:rFonts w:ascii="Arial" w:hAnsi="Arial" w:cs="Arial"/>
                <w:sz w:val="20"/>
                <w:szCs w:val="20"/>
              </w:rPr>
              <w:t>10.1.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средств из бюджетов бюджетной системы Российской Федерации для реализации практики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0 - 10</w:t>
            </w:r>
          </w:p>
        </w:tc>
      </w:tr>
      <w:tr w:rsidR="00446DC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Меры по усовершенствованию реализации практики - рекомендации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0" w:name="Par195"/>
            <w:bookmarkEnd w:id="30"/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Реализованная практика тиражируема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0 - 10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1" w:name="Par198"/>
            <w:bookmarkEnd w:id="31"/>
            <w:r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Презентационные материалы отличаются наглядностью и высоким качеством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0 - 5</w:t>
            </w:r>
          </w:p>
        </w:tc>
      </w:tr>
      <w:tr w:rsidR="00446D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2" w:name="Par201"/>
            <w:bookmarkEnd w:id="32"/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Лица, ответственные за реализацию практики в муниципальном образовании, готовые обеспечить консультацию лиц, заинтересованных в тиражировании практики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446DC5" w:rsidRDefault="00446DC5" w:rsidP="0044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Итоговая сумма баллов по конкурсной заявке рассчитывается по формуле:</w:t>
      </w: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11049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</w:t>
      </w: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446DC5" w:rsidRDefault="00446DC5" w:rsidP="00446D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- итоговая сумма баллов по i-ой конкурсной заявке;</w:t>
      </w:r>
    </w:p>
    <w:p w:rsidR="00446DC5" w:rsidRDefault="00446DC5" w:rsidP="00446D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количество членов подкомиссии, оценивших конкурсную заявку;</w:t>
      </w:r>
    </w:p>
    <w:p w:rsidR="00446DC5" w:rsidRDefault="00446DC5" w:rsidP="00446D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381000" cy="426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сумма баллов, выставленных членами подкомиссии по заявке i-ого муниципального образования по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подпункту "а" пункта 4</w:t>
        </w:r>
      </w:hyperlink>
      <w:r>
        <w:rPr>
          <w:rFonts w:ascii="Arial" w:hAnsi="Arial" w:cs="Arial"/>
          <w:sz w:val="20"/>
          <w:szCs w:val="20"/>
        </w:rPr>
        <w:t xml:space="preserve"> настоящей Методики;</w:t>
      </w:r>
    </w:p>
    <w:p w:rsidR="00446DC5" w:rsidRDefault="00446DC5" w:rsidP="00446D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lastRenderedPageBreak/>
        <w:drawing>
          <wp:inline distT="0" distB="0" distL="0" distR="0">
            <wp:extent cx="342900" cy="251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сумма баллов, выставленных членами подкомиссии по заявке i-ого муниципального образования по </w:t>
      </w:r>
      <w:hyperlink w:anchor="Par45" w:history="1">
        <w:r>
          <w:rPr>
            <w:rFonts w:ascii="Arial" w:hAnsi="Arial" w:cs="Arial"/>
            <w:color w:val="0000FF"/>
            <w:sz w:val="20"/>
            <w:szCs w:val="20"/>
          </w:rPr>
          <w:t>подпунктам "б"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"д" пункта 4</w:t>
        </w:r>
      </w:hyperlink>
      <w:r>
        <w:rPr>
          <w:rFonts w:ascii="Arial" w:hAnsi="Arial" w:cs="Arial"/>
          <w:sz w:val="20"/>
          <w:szCs w:val="20"/>
        </w:rPr>
        <w:t xml:space="preserve"> настоящей Методики.</w:t>
      </w:r>
    </w:p>
    <w:p w:rsidR="00446DC5" w:rsidRDefault="00446DC5" w:rsidP="00446D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Муниципальное образование, конкурсной заявке которого присвоено наибольшее количество баллов, признается победителем конкурса.</w:t>
      </w: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46DC5" w:rsidRDefault="00446DC5" w:rsidP="0044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150D1" w:rsidRDefault="006356BE"/>
    <w:sectPr w:rsidR="008150D1" w:rsidSect="00131D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C5"/>
    <w:rsid w:val="00446DC5"/>
    <w:rsid w:val="006356BE"/>
    <w:rsid w:val="00A43F94"/>
    <w:rsid w:val="00C65071"/>
    <w:rsid w:val="00C726F6"/>
    <w:rsid w:val="00F2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A77B474FB648BCACEE9B4F95BC53AC263BBC778014073A68E727FC5CD03E5EC62448051F3384E3EBe5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A77B474FB648BCACEE9B4F95BC53AC263BBC778014073A68E727FC5CD03E5EC62448051F3385ECEBe2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CA77B474FB648BCACEE9B4F95BC53AC2632BC798C1E073A68E727FC5CD03E5EC62448051F3385E5EBeEO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Мухина</dc:creator>
  <cp:lastModifiedBy>Эльвира Николаевна ГУСЕВА</cp:lastModifiedBy>
  <cp:revision>2</cp:revision>
  <dcterms:created xsi:type="dcterms:W3CDTF">2018-04-25T15:19:00Z</dcterms:created>
  <dcterms:modified xsi:type="dcterms:W3CDTF">2018-04-25T15:19:00Z</dcterms:modified>
</cp:coreProperties>
</file>